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C-1517/2023 vom 30. Juni 2023</w:t>
      </w:r>
    </w:p>
    <w:p>
      <w:r>
        <w:t>Bundesverwaltungsgericht, 2023-06-30, FR</w:t>
      </w:r>
    </w:p>
    <w:p>
      <w:r>
        <w:rPr>
          <w:b/>
        </w:rPr>
        <w:t xml:space="preserve">Quelle: </w:t>
      </w:r>
      <w:r>
        <w:t>https://mcp.opencaselaw.ch/entscheid/bvger_C-1517_2023</w:t>
      </w:r>
    </w:p>
    <w:p>
      <w:r>
        <w:t>FR: TAF C-1517/2023 du 30 juin 2023</w:t>
      </w:r>
    </w:p>
    <w:p>
      <w:r>
        <w:t>IT: TAF C-1517/2023 del 30 giugno 2023</w:t>
      </w:r>
    </w:p>
    <w:p>
      <w:pPr>
        <w:pStyle w:val="Heading2"/>
      </w:pPr>
      <w:r>
        <w:t>Regeste</w:t>
      </w:r>
    </w:p>
    <w:p>
      <w:r>
        <w:t>Rentes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Sur le vu de ce qui précède, le Tribunal de céans retient que le recourant n’a jamais cotisé à l’AVS et que, par conséquent, la CSC a justement rejeté sa demande de rente de vieillesse. Partant, le recours, manifestement infondé, doit être rejeté dans une pro- cédure à juge unique en application de l'art. 85bis al. 3 LAVS en relation avec l'art. 23 al. 2 LTAF.</w:t>
      </w:r>
    </w:p>
    <w:p>
      <w:r>
        <w:t>C-1517/2023 Page 10</w:t>
      </w:r>
    </w:p>
    <w:p>
      <w:r>
        <w:rPr>
          <w:b/>
        </w:rPr>
        <w:t>E. 9</w:t>
      </w:r>
    </w:p>
    <w:p>
      <w:r>
        <w:t>La procédure est gratuite pour les parties (art. 85bis al. 2 LAVS), de sorte qu’il n’est pas perçu de frais de procédure. Il n'est alloué de dépens ni au recourant, vu l'issue de la procédure, ni à l’autorité inférieure (art. 64 al. 1 PA et art. 7 du règlement du 21 février 2008 concernant les frais, dépens et indemnités fixés par le Tribunal administratif fédéral [FITAF, RS 173.320.2]).</w:t>
      </w:r>
    </w:p>
    <w:p>
      <w:r>
        <w:t>C-1517/2023 Page 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