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C-1516/2008 vom 1. März 2010</w:t>
      </w:r>
    </w:p>
    <w:p>
      <w:r>
        <w:t>Bundesverwaltungsgericht, 2010-03-01, DE</w:t>
      </w:r>
    </w:p>
    <w:p>
      <w:r>
        <w:rPr>
          <w:b/>
        </w:rPr>
        <w:t xml:space="preserve">Quelle: </w:t>
      </w:r>
      <w:r>
        <w:t>https://mcp.opencaselaw.ch/entscheid/bvger_C-1516_2008</w:t>
      </w:r>
    </w:p>
    <w:p>
      <w:r>
        <w:t>FR: TAF C-1516/2008 du 1 mars 2010</w:t>
      </w:r>
    </w:p>
    <w:p>
      <w:r>
        <w:t>IT: TAF C-1516/2008 del 1 marzo 2010</w:t>
      </w:r>
    </w:p>
    <w:p>
      <w:pPr>
        <w:pStyle w:val="Heading2"/>
      </w:pPr>
      <w:r>
        <w:t>Regeste</w:t>
      </w:r>
    </w:p>
    <w:p>
      <w:r>
        <w:t>Rente</w:t>
      </w:r>
    </w:p>
    <w:p>
      <w:pPr>
        <w:pStyle w:val="Heading2"/>
      </w:pPr>
      <w:r>
        <w:t>Erwägungen</w:t>
      </w:r>
    </w:p>
    <w:p>
      <w:r>
        <w:rPr>
          <w:b/>
        </w:rPr>
        <w:t>E. 1</w:t>
      </w:r>
    </w:p>
    <w:p>
      <w:r>
        <w:t>Die Beschwerde wird, soweit darauf eingetreten werden kann, im Sinne der Erwägungen teilweise gutgeheissen. Der Einspracheentscheid vom 15. Januar 2008 wird aufgehoben und die Sache wird an die Vorinstanz zurückgewiesen, damit sie abklärt, ob und allenfalls in welchem Umfang der Beschwerdeführerin Erziehungsgutschriften anzurechnen sind, und anschliessend neu verfügt.</w:t>
      </w:r>
    </w:p>
    <w:p>
      <w:r>
        <w:rPr>
          <w:b/>
        </w:rPr>
        <w:t>E. 2</w:t>
      </w:r>
    </w:p>
    <w:p>
      <w:r>
        <w:t>Ein Doppel der Stellungnahme der Vorinstanz vom 29. Januar 2010 geht zur Kenntnisnahme an die Beschwerdeführerin.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(Gerichtsurkunde; Beilage: Doppel der Stellungnahme der Vorinstanz vom 29. Januar 2010) die Vorinstanz (Ref-Nr. _______; Einschreiben) das Bundesamt für Sozialversicherungen (Einschreiben)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