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C-1515/2011 vom 25. Juni 2013</w:t>
      </w:r>
    </w:p>
    <w:p>
      <w:r>
        <w:t>Bundesverwaltungsgericht, 2013-06-25, DE</w:t>
      </w:r>
    </w:p>
    <w:p>
      <w:r>
        <w:rPr>
          <w:b/>
        </w:rPr>
        <w:t xml:space="preserve">Quelle: </w:t>
      </w:r>
      <w:r>
        <w:t>https://mcp.opencaselaw.ch/entscheid/bvger_C-1515_2011</w:t>
      </w:r>
    </w:p>
    <w:p>
      <w:r>
        <w:t>FR: TAF C-1515/2011 du 25 juin 2013</w:t>
      </w:r>
    </w:p>
    <w:p>
      <w:r>
        <w:t>IT: TAF C-1515/2011 del 25 giugno 2013</w:t>
      </w:r>
    </w:p>
    <w:p>
      <w:pPr>
        <w:pStyle w:val="Heading2"/>
      </w:pPr>
      <w:r>
        <w:t>Regeste</w:t>
      </w:r>
    </w:p>
    <w:p>
      <w:r>
        <w:t>Rentenanspruch</w:t>
      </w:r>
    </w:p>
    <w:p>
      <w:pPr>
        <w:pStyle w:val="Heading2"/>
      </w:pPr>
      <w:r>
        <w:t>Erwägungen</w:t>
      </w:r>
    </w:p>
    <w:p>
      <w:r>
        <w:rPr>
          <w:b/>
        </w:rPr>
        <w:t>E. 1</w:t>
      </w:r>
    </w:p>
    <w:p>
      <w:r>
        <w:t>Zu beurteilen ist die Beschwerde vom 8. März 2011, mit welcher der Be­­schwerdeführer die Verfügung der Vorinstanz vom 11. Februar 2011, mit der sein Leistungsbegehren abgewiesen worden ist, angefochten hat.</w:t>
      </w:r>
    </w:p>
    <w:p>
      <w:r>
        <w:rPr>
          <w:b/>
        </w:rPr>
        <w:t>E. 1.1</w:t>
      </w:r>
    </w:p>
    <w:p>
      <w:r>
        <w:t>Das Bundesverwaltungsgericht prüft von Amtes wegen, ob die Pro­zess­voraussetzungen erfüllt sind und auf die Beschwerde eingetreten werden kann (BVGE 2007/6 E. 1 mit Hinweisen).</w:t>
      </w:r>
    </w:p>
    <w:p>
      <w:r>
        <w:rPr>
          <w:b/>
        </w:rPr>
        <w:t>E. 1.2</w:t>
      </w:r>
    </w:p>
    <w:p>
      <w:r>
        <w:t>Das Verfahren vor dem Bundesverwaltungsgericht richtet sich nach dem Bundesgesetz vom 20. Dezember 1968 über das Verwaltungs­verfahren (VwVG, SR 172.021), soweit das Verwaltungsgerichtsgesetz vom 17. Juni 2005 (VGG, SR 173.32)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1.4</w:t>
      </w:r>
    </w:p>
    <w:p>
      <w:r>
        <w:t>Die Beschwerde wurde frist- und formgerecht eingereicht (vgl. Art. 22a VwVG in Verbindung mit Art. 60 ATSG und Art. 52 Abs. 1 VwVG). Als Adressat ist der Beschwerdeführer durch die angefochtene Verfügung berührt und hat ein schutzwürdiges Interesse an deren Aufhebung oder Änderung (vgl. Art. 59 ATSG). Nachdem auch der Verfahrenskosten­vorschuss fristgerecht geleistet worden ist, kann auf die Be­schwerde eingetreten werden.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2.2</w:t>
      </w:r>
    </w:p>
    <w:p>
      <w:r>
        <w:t>Das Bundesverwaltungsgericht ist gemäss dem Grundsatz der Rechts­anwendung von Amtes wegen nicht an die Begründung der Begehren der Parteien gebunden (Art. 62 Abs. 4 VwVG). Im Rahmen seiner Kognition (E. 2.1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Im Folgenden sind vorab die im vorliegenden Verfahren anwendbaren Normen und Rechtsgrundsätze darzustellen.</w:t>
      </w:r>
    </w:p>
    <w:p>
      <w:r>
        <w:rPr>
          <w:b/>
        </w:rPr>
        <w:t>E. 3.1</w:t>
      </w:r>
    </w:p>
    <w:p>
      <w:r>
        <w:t>Der Beschwerdeführer ist serbischer Staatsangehöriger und wohnt in Serbien. Nach dem Zerfall der Föderativen Volksrepublik Jugoslawien blieben die Bestimmungen des Abkommens vom 8. Juni 1962 zwischen der Schweizerischen Eidgenossenschaft und der Föderativen Volks­republik Jugoslawien über Sozialversicherung (SR 0.831.109.818.1; nach­folgend: Sozialversicherungsabkommen) für alle Staatsangehörigen des ehe­maligen Jugoslawiens anwendbar (BGE 126 V 198 E. 2b, BGE 122 V 381 E. 1 mit Hinweis). Zwischenzeitlich hat die Schweiz mit ein­zelnen Nach­folgestaaten des ehemaligen Jugoslawiens (Kroatien, Slowenien, Maze­donien), nicht aber mit Serbien, neue Abkommen über Soziale Sicher­heit abgeschlossen. Für Bürger von Serbien findet dem­nach weiter­hin das Sozialversicherungsabkommen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Betreffend die Voraussetzungen des Anspruchs auf eine schweizerische Invalidenrente sind keine abweichenden Vorschriften aus­zumachen.</w:t>
      </w:r>
    </w:p>
    <w:p>
      <w:r>
        <w:rPr>
          <w:b/>
        </w:rPr>
        <w:t>E. 3.2</w:t>
      </w:r>
    </w:p>
    <w:p>
      <w:r>
        <w:t>Die Frage, ob und gegebenenfalls ab wann Anspruch auf Leistungen der schweizerischen Invalidenversicherung besteht, bestimmt sich dem­nach ausschliesslich nach den innerstaatlichen schweizerischen Rechts­vorschriften, insbesondere nach dem IVG sowie der Verordnung über die Invalidenversicherung vom 17. Januar 1961 (IVV, SR 831.210; vgl. Urteil des Eidgenössischen Versicherungsgerichtes [EVG, heute: Bundes­ge­richt] I 785/04 vom 25. April 2006 E. 1 mit weiteren Hinweisen und Art. 4 Sozialversicherungsabkommen). Ferner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E.2). Vielmehr unterstehen auch aus dem Ausland stammende Beweis­mittel der freien Beweiswürdigung des Gerichts (vgl. Urteil des EVG vom 11. Dezember 1981 i.S. D; zum Grundsatz der freien Beweiswürdigung: BGE 125 V 351 E. 3a).</w:t>
      </w:r>
    </w:p>
    <w:p>
      <w:r>
        <w:rPr>
          <w:b/>
        </w:rPr>
        <w:t>E. 3.3</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3.4</w:t>
      </w:r>
    </w:p>
    <w:p>
      <w:r>
        <w:t>Damit finden grundsätzlich jene schweizerischen Rechtsvorschriften Anwendung, die bei Erlass der angefochtenen Verfügung vom 11. Feb­ruar 2011 in Kraft standen; weiter aber auch solche Vorschriften, die zu jenem Zeitpunkt bereits ausser Kraft getreten waren, die aber für die Beurteilung eines allenfalls früher entstandenen Rentenanspruchs von Belang sind (für das IVG insbesondre: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 Noch keine Anwendung findet vorliegend das am 1. Januar 2012 in Kraft getretene erste Massnahmenpaket der 6. IV-Revision (IVG in der Fas­sung vom 18. März 2011 [AS 2011 5659]).</w:t>
      </w:r>
    </w:p>
    <w:p>
      <w:r>
        <w:rPr>
          <w:b/>
        </w:rPr>
        <w:t>E. 3.5</w:t>
      </w:r>
    </w:p>
    <w:p>
      <w:r>
        <w:t>Ferner sind das ATSG und die Verordnung vom 11. September 2002 über den Allgemeinen Teil des Sozialversicherungsrechts (ATSV, SR 830.11) zu beachten. Die im ATSG enthaltenen Formulierungen der Arbeitsunfähigkeit, Erwerbsunfähigkeit und Invalidität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nachfolgend auf die dortigen Begriffs­bestimmungen verwiesen wird.</w:t>
      </w:r>
    </w:p>
    <w:p>
      <w:r>
        <w:rPr>
          <w:b/>
        </w:rPr>
        <w:t>E. 4.1</w:t>
      </w:r>
    </w:p>
    <w:p>
      <w:r>
        <w:t>Strittig ist, ob die Vorinstanz das Leistungsgesuch des Beschwerde­führers zu Recht abgewiesen hat. Zu prüfen ist insbesondere, ob die medi­zinische Aktenlage die gesetzeskonforme Beurteilung des Leistungs­anspruchs des Beschwerdeführers zulässt.</w:t>
      </w:r>
    </w:p>
    <w:p>
      <w:r>
        <w:rPr>
          <w:b/>
        </w:rPr>
        <w:t>E. 4.2</w:t>
      </w:r>
    </w:p>
    <w:p>
      <w:r>
        <w:t>Unter Invalidität wird bei als Gesunden voll erwerbstätigen Personen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w:t>
      </w:r>
    </w:p>
    <w:p>
      <w:r>
        <w:rPr>
          <w:b/>
        </w:rPr>
        <w:t>E. 4.3</w:t>
      </w:r>
    </w:p>
    <w:p>
      <w:r>
        <w:t>Nach den Vorschriften der 4. IV-Revision entsteht der Rentenan-spruch frühestens zu dem Zeitpunkt, in dem die versicherte Person min-destens zu 40 % bleibend erwerbsunfähig (Art. 7 ATSG) geworden ist oder während eines Jahres ohne wesentlichen Unterbruch durch-schnittlich mindestens zu 40 % arbeitsunfähig (Art. 6 ATSG) gewesen ist (Art. 29 Abs. 1 lit.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 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liegt nicht vor. Nach der Recht­sprechung des EVG stellt diese Regelung nicht eine blosse Auszah­lungsvorschrift, sondern eine besondere Anspruchsvoraussetzung dar (BGE 121 V 275 E. 6c).</w:t>
      </w:r>
    </w:p>
    <w:p>
      <w:r>
        <w:rPr>
          <w:b/>
        </w:rPr>
        <w:t>E. 4.4</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4.5</w:t>
      </w:r>
    </w:p>
    <w:p>
      <w:r>
        <w:t>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 Auf Stellungnahmen der RAD kann indessen nur abgestellt werden, wenn sie den allgemeinen beweisrechtlichen Anforderungen an einen ärztlichen Bericht genügen (Urteil des EVG I 694/05 vom 15. De­zember 2006 E. 2). Sie müssen insbesondere in Kenntnis der Vorakten (Anamnese) abgegeben worden sein und in der Beschreibung der medizinischen Situation und Zusammenhänge einleuchten; die Schluss­folgerungen sind zu begründen (BGE 125 V 351 E. 3a S. 352). Die RAD-Ärzte müssen sodann über die im Einzelfall gefragten persönlichen und fachlichen Qualifikationen verfügen (Urteile des EVG I 142/07 vom 20. No­vember 2007 E. 3.2.3 und I 362/06 vom 10. April 2007 E. 3.2.1). Bezüglich dieser materiellen und formellen Anforderungen sind die RAD-Berichte im Beschwerdefall gerichtlich überprüfbar (vgl. zum Ganzen: Urteile des Bundesgerichts 9C_323/2009 vom 14. Juli 2009 [publiziert in SVR 2009 IV Nr. 56] E. 4.3.1 mit Hinweisen, 9C_1059/2009 vom 4. August 2010 E. 1.2).</w:t>
      </w:r>
    </w:p>
    <w:p>
      <w:r>
        <w:rPr>
          <w:b/>
        </w:rPr>
        <w:t>E. 5.1</w:t>
      </w:r>
    </w:p>
    <w:p>
      <w:r>
        <w:t>Die Vorinstanz stützt sich hinsichtlich des medizinischen Sachverhalts auf die Einschätzung von IV-Arzt Dr. med. C.______. Nach Sichtung der medizinischen Akten hielt dieser in seiner Stellung­nahme vom 13. Mai 2010 als Hauptdiagnose Status nach Ruptur der Rotatorenmanschette rechts, operiert am 27. Juni 2005, fest. Ohne Ein­fluss auf die Arbeitsfähigkeit seien folgende Diagnosen: moderate cervi­cale und lumbale Spondylarthrose; Arterielle Hypertonie sowie Sinus­tachycardie (act. 99). Die diversen Berichte aus Serbien attestierten sowohl betreffend die cervicale und lumbale Problematik als auch betref­fend die rechte Schulter nur moderate Beschwerden. Der serbische Versicherungsträger habe aufgrund der durchgeführten Untersuchungen eine eingeschränkte Arbeitsfähigkeit für Tätigkeiten, die Feinarbeit mit der rechten Hand sowie Heben und Tragen von Lasten über 5 kg erforderten, festgehalten. Der Invaliditätsgrad sei global auf 40 % festgelegt worden. Sodann habe Dr. med. D.______ anlässlich der kreisärztlichen Unter­suchung der SUVA vom 10. März 2010 klinisch eine normale muskuläre Entwicklung ohne Insuffizienz der Rotatorenmanschette festgestellt. Die An­gaben des Beschwerdeführers zeigten sogar eine leichte Verbesse­rung. Im Vergleich zum Jahr 2006 könne sich der Beschwerdeführer jetzt mit der rechten Hand rasieren und die Zähne putzen. Er sei heute in einer adaptierten Tätigkeit unverändert zu 100 % arbeitsfähig. Eine Tätigkeit als Bauarbeiter sei indessen nicht mehr zumutbar. Aufgrund der vom Beschwerdeführer erhobenen Rügen und zusätzlich eingereichten Berichte verfasste Dr. med. C.______ am 3. Juni 2011 eine ergänzende Stellungnahme (act. 110). Darin führte er im Wesentlichen aus, die Beschwerden im Zusammenhang mit der linken Schulter und dem Rücken seien offensichtlich unfallfremd. Dem kreisärztlichen Bericht der SUVA seien jedoch auch klinische Untersuchungen der Wirbelsäule und der linken Schulter zu entnehmen. Zudem stütze sich seine Be­urteilung auf die Einschätzungen der IV-Stelle B._______ und des serbi­schen Versicherungsträgers, welche die globale Situation des Be­schwerdeführers beträfen. Daraus seien jedoch keine über die Unfall­folgen hinausgehenden funktionellen Einschränkungen ersichtlich. Mit der Beschwerde sei ein MRI der linken Schulter vom 4. Februar 2011 eingereicht worden, das moderate degenerative Veränderungen im Be­reich des linken Glenohumeralgelenks und etwas ausgeprägter im Be­reich des Acromioclaviculargelenks, mit Anzeichen für Impingement, zeige. Die Sehnen präsentierten sich intakt. Nach der kreisärztlichen Unter­­suchung der SUVA seien keine weiteren klinische Untersuchungen durchgeführt worden. Die Dokumente aus bildgebenden Verfahren hätten keine bisher un­bekannten Elemente gezeigt. Es könne daher an der Einschätzung einer Arbeitsfähigkeit von 100 % in adaptierten Tätigkeiten, wie sie in der Stellungnahme vom 13. Mai 2010 beschrieben worden seien, festgehalten werden.</w:t>
      </w:r>
    </w:p>
    <w:p>
      <w:r>
        <w:rPr>
          <w:b/>
        </w:rPr>
        <w:t>E. 5.2</w:t>
      </w:r>
    </w:p>
    <w:p>
      <w:r>
        <w:t>Die Vorinstanz hat sich offensichtlich einzig mit jenen Arztberichten auseinandergesetzt, die zur somatischen Seite der gesundheitlichen Be­einträchtigungen des Beschwerdeführers Stellung nehmen. Den Akten ist jedoch zu entnehmen, dass der Beschwerdeführer auch psychiatrisch untersucht wurde. Im Bericht vom 17. Juli 2008 diagnostizierte die Psychia­terin Dr. med. E._______ eine schwere depressive Episode ohne psychotische Symptome (ICD-10 F32.2). Sie verschrieb dem Be­schwerdeführer die Medikamente Zoloft und Xanax und hielt fest, eine Kontrolle sei in zwei bis drei Wochen, wenn nötig früher, durchzuführen (act. 95). Sodann führte sie im Wesentlichen aus, der Beschwerdeführer sei vor zwei Jahren aufgrund einer Stresssituation während drei bis vier Monaten in der Schweiz in psychiatrischer Behandlung gewesen. Seine Gedanken seien eingeengt, seine Aufmerksamkeit sei stark auf die aktu­ellen Schmerzen gerichtet. Der Beschwerdeführer präsentiere sich sehr ängstlich, die Willenskraft und Frustrationsgrenze seien herabgesetzt mit Somatisierung bei verschiedenen vegetativen Symptomen. Mit vorgenanntem Bericht hat sich die Vorinstanz in keiner Weise befasst und damit zum psychiatrischen Befund keine Aussage gemacht. Ferner hat sie auch keine weiteren Abklärungen hinsichtlich des Verlaufs der depressiven Episode getätigt. Es kann vorliegend nicht ausgeschlossen werden, dass die diagnostizierte depressive Episode Krankheitswert aufweist und eine massgebliche Arbeitsunfähigkeit begründet. Dies wäre jedoch von der Vorinstanz fachärztlich zu prüfen gewesen. Nichts daran zu ändern vermag der Umstand, dass der serbische Versicherungsträger in seiner Beurteilung vom 3. Dezember 2009 einen unauffälligen psy­chischen Zustand erwähnte (act. 97), zumal auch dieser Beurteilung nicht entnommen werden kann, dass der psychiatrische Bericht von Dr. med. E._______ gewürdigt worden wäre.</w:t>
      </w:r>
    </w:p>
    <w:p>
      <w:r>
        <w:rPr>
          <w:b/>
        </w:rPr>
        <w:t>E. 5.3</w:t>
      </w:r>
    </w:p>
    <w:p>
      <w:r>
        <w:t>Der rechtserheblichen Sachverhalt erweist sich somit als unvoll­ständig abgeklärt. Da die Angaben der Psychiaterin Dr. med. E._______ keine abschliessende Beurteilung des Gesundheitszustands und des Grads der Arbeitsunfähigkeit erlauben, sind weitere medizinische Ab­klärungen an­gezeigt. Nach der ho chstrichterlichen Rechtsprechung hat das Gericht, das den Sachverhalt als ungenu gend abgekla rt erachtet, die Sache zur weiteren Beweiserhebung an die Verwaltung zuru ckzuweisen oder selber die no tigen Instruktionen vorzunehmen (ZAK 1987 S. 264 E. 2a). Vor­liegend sind keine Gru nde ersichtlich, die der Ru ckweisung der Sache zur weiteren Abkla rung an die IVSTA entgegenstehen wu rden, zumal die psychiatrische Seite des Beschwerdebilds völlig ungeklärt geblieben ist und in dieser Hinsicht erga nzende Abkla rungen vorzu­nehmen sind, die in einer medizinischen Gesamtwürdigung zu berück­sichtigen sein werden (vgl. BGE 137 V 210 E. 4.4.1.4). Dabei werden die Folgen des Unfalls vom 16. September 2002 auch aus chirurgischer Sicht zu beurteilen sein. Die Sache ist dazu an die Vorinstanz zurückzuweisen. Diese wird die erforderlichen Sachverhaltsergänzungen vornehmen und ge­stützt auf deren Ergebnisse über den Rentenanspruch neu verfügen müssen.</w:t>
      </w:r>
    </w:p>
    <w:p>
      <w:r>
        <w:rPr>
          <w:b/>
        </w:rPr>
        <w:t>E. 6</w:t>
      </w:r>
    </w:p>
    <w:p>
      <w:r>
        <w:t>Zusammenfassend ergibt sich, dass die Beschwerde gutzu­heissen und die Sache im Sinne der Erwägungen zur weiteren Abklärung und zum neuen Entscheid an die Vor­instanz zurückzuweisen ist.</w:t>
      </w:r>
    </w:p>
    <w:p>
      <w:r>
        <w:rPr>
          <w:b/>
        </w:rPr>
        <w:t>E. 7</w:t>
      </w:r>
    </w:p>
    <w:p>
      <w:r>
        <w:t>Zu befinden bleibt über die Verfahrenskosten und eine allfällige Partei- entschädigung.</w:t>
      </w:r>
    </w:p>
    <w:p>
      <w:r>
        <w:rPr>
          <w:b/>
        </w:rPr>
        <w:t>E. 7.1</w:t>
      </w:r>
    </w:p>
    <w:p>
      <w:r>
        <w:t>Die Verfahrenskosten sind in der Regel von der unterliegenden Partei zu tragen. Da eine Rückweisung praxisgemäss als Obsiegen der be­schwerde­führenden Partei gilt, sind dem Beschwerdeführer keine Ver­fahrenskosten aufzuerlegen. Ebenso wenig sind bei der Vorinstanz Verfahrenskosten zu erheben (vgl. Art. 63 Abs. 1 und 2 VwVG; BGE 132 V 215 E. 6.1). Der vom Beschwerdeführer geleistete Kostenvor­schuss von Fr. 400.- ist ihm zurückzuerstatten.</w:t>
      </w:r>
    </w:p>
    <w:p>
      <w:r>
        <w:rPr>
          <w:b/>
        </w:rPr>
        <w:t>E. 7.2</w:t>
      </w:r>
    </w:p>
    <w:p>
      <w:r>
        <w:t>Der obsiegende, vertretene Beschwerdeführer hat gemäss Art. 64 Abs. 1 VwVG in Verbindung mit Art. 7 ff. des Reglements vom 21. Feb­ruar 2008 über die Kosten und Entschädigungen vor dem Bundes­verwaltungsgericht (VGKE, SR 173.320.2) Anspruch auf eine Partei­entschädigung zu Lasten der Verwaltung. Diese ist unter Berück­sichtigung des aktenkundigen Aufwands und des Umstands, dass vor­liegend keine Mehrwertsteuer geschuldet ist (vgl. beispielsweise Urteil des Bundesverwaltungsgerichts C-6983/2009 vom 12. April 2010 E. 3.2), auf Fr. 1'000.-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