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C-1509/2008 vom 13. Februar 2009</w:t>
      </w:r>
    </w:p>
    <w:p>
      <w:r>
        <w:t>Bundesverwaltungsgericht, 2009-02-13, DE</w:t>
      </w:r>
    </w:p>
    <w:p>
      <w:r>
        <w:rPr>
          <w:b/>
        </w:rPr>
        <w:t xml:space="preserve">Quelle: </w:t>
      </w:r>
      <w:r>
        <w:t>https://mcp.opencaselaw.ch/entscheid/bvger_C-1509_2008</w:t>
      </w:r>
    </w:p>
    <w:p>
      <w:r>
        <w:t>FR: TAF C-1509/2008 du 13 février 2009</w:t>
      </w:r>
    </w:p>
    <w:p>
      <w:r>
        <w:t>IT: TAF C-1509/2008 del 13 febbraio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die Einreise und die Visumserteilung [VEV, SR 142.204])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131 II 352 E. 1.3.1 [mit Hinweis auf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in Art. 5 Abs. 1 Bst. c SGK erwähnte Einreiseerfordernis der ausreichenden finanziellen Mittel wird in Absatz 3 präzisiert. Danach kann die Feststellung ausreichender finanzieller Mittel anhand von Bargeld, Reiseschecks und Kreditkarten erfolgen; ebenso können - sofern in den nationalen Rechtsvorschriften vorgesehen - Verpflichtungserklärungen und Bürgschaften von Gastgebern Nachweise für das Vorhandensein ausreichender Mittel zur Bestreitung des Lebensunterhalts darstellen. Das schweizerische Ausländerrecht sieht diese und andere Sicherheiten in Art. 2 Abs. 2 sowie in Art. 7-11 VEV vor. Unter Verweis auf die Rechtsgrundlage von Art. 5 SGK führt die GKI aus, welche Belege sich zum Nachweis der Mittel zur Bestreitung des Lebensunterhalts eignen (vgl. ABl. C 326, S. 11).</w:t>
      </w:r>
    </w:p>
    <w:p>
      <w:r>
        <w:rPr>
          <w:b/>
        </w:rPr>
        <w:t>E. 7</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vietnamesische Staatsangehörige unterliegt die Gesuchstellerin damit der Visumspflicht.</w:t>
      </w:r>
    </w:p>
    <w:p>
      <w:r>
        <w:rPr>
          <w:b/>
        </w:rPr>
        <w:t>E. 8.1</w:t>
      </w:r>
    </w:p>
    <w:p>
      <w:r>
        <w:t>Wenn es zu beurteilen gilt, ob das Kriterium der gesicherten Wiederausreise erfüllt ist, muss ein zukünftiges Verhalten beurteilt werden. Dazu lassen sich in der Regel keine Feststellungen, sondern lediglich Prognosen treffen. Dabei rechtfertigt es sich durchaus, Einreisegesuchen von Bürgerinnen und Bürgern aus Staaten oder Regionen mit politisch respektive wirtschaftlich vergleichsweise ungünstigen Verhältnissen zum vornherein mit Zurückhaltung zu begegnen, da die persönliche Interessenlage in solchen Fällen häufig nicht mit dem Ziel und Zweck einer zeitlich befristeten Einreisebewilligung in Einklang steht.</w:t>
      </w:r>
    </w:p>
    <w:p>
      <w:r>
        <w:rPr>
          <w:b/>
        </w:rPr>
        <w:t>E. 8.2</w:t>
      </w:r>
    </w:p>
    <w:p>
      <w:r>
        <w:t>Seit Anfang der 90er Jahre befindet sich die Wirtschaft Vietnams in einem Übergangsprozess von einer Plan- zu einer Marktwirtschaft mit "sozialistischer Orientierung". Im Zuge der im Frühjahr 2008 offensichtlich gewordenen Überhitzung der vietnamesischen Volkswirtschaft hatten internationale Rating-Agenturen (Fitch, Standard and Poor's) die Perspektiven Vietnams von "stabil" auf "negativ" herabgestuft und dem Land eine Wirtschafts- und Finanzkrise prognostiziert. Inzwischen hat sich die wirtschaftliche Situation Vietnams allerdings wieder entspannt, die von der Regierung ergriffenen Maßnahmen (restriktive Geldpolitik, Budgetdisziplin, flexiblere Wechselkurspolitik u.a.) zeigen Wirkung. Im Ergebnis ist die allgemeine Inflationsrate (headline inflation) zuletzt zwar spürbar zurückgegangen, liegt im Jahresvergleich aber noch immer bei 25%. Das Wirtschaftswachstum, lange Jahre Oberziel vietnamesischer Wirtschaftspolitik, wird von der Regierung derzeit folgerichtig als nachrangiges Ziel verstanden, Priorität hat die Bekämpfung der Inflation. Das für 2008 prognostizierte Wirtschaftswachstum wurde zuletzt mehrfach nach unten korrigiert und liegt laut gegenwärtigem Plan bei 6% (ursprünglich waren 9% geplant). (Quelle: http://www.auswaertiges-amt. de, Stand: November 2008, besucht am 3. Februar 2009). Viele Viet-namesen wandern denn auch auf der Suche nach einer Arbeitsmöglichkeit und der Verbesserung ihres persönlichen und familiären Einkommens aus. Ungefähr 3 Mio. Vietnamesen leben im Ausland, weitere 300'000 Vietnamesen sind im Ausland als Gelegenheitsarbeiter tätig (Quelle: http://www.iom.int/jahia/Jahia/pid/505, Stand: März 2007, besucht am 3. Februar 2009).</w:t>
      </w:r>
    </w:p>
    <w:p>
      <w:r>
        <w:rPr>
          <w:b/>
        </w:rPr>
        <w:t>E. 8.3</w:t>
      </w:r>
    </w:p>
    <w:p>
      <w:r>
        <w:t>Aufgrund der geschilderten Entwicklung wird deutlich, dass der bis anhin bestehende Migrationsdruck ungebrochen anhalten wird. Der Trend zur Auswanderung zeigt sich erfahrungsgemäss dort besonders stark, wo durch die Anwesenheit von Verwandten oder Freunden bereits ein minimales soziales Beziehungsnetz im Ausland besteht. Im Falle der Schweiz führt dies angesichts der restriktiven Zulassungsregelung nicht selten zur Umgehung ausländerrechtlicher Bestimmungen.</w:t>
      </w:r>
    </w:p>
    <w:p>
      <w:r>
        <w:rPr>
          <w:b/>
        </w:rPr>
        <w:t>E. 9.1</w:t>
      </w:r>
    </w:p>
    <w:p>
      <w:r>
        <w:t>Bei der Risikoanalyse sind aber nicht nur solch allgemeine Umstände und Erfahrungen, sondern auch sämtliche Gesichtspunkte des konkreten Einzelfalles zu berücksichtigen. Obliegt einem Gesuchsteller bzw. einer Gesuchstellerin im Heimatstaat beispielsweise eine besondere berufliche, gesellschaftliche oder familiäre Verantwortung, kann dieser Umstand durchaus die Prognose für eine anstandslose Wiederausreise begünstigen. Umgekehrt muss bei Gesuchstellern und Gesuchstellerinnen, die in ihrer Heimat keine der erwähnten Verpflichtungen haben, das Risiko, dass sie sich nach einer bewilligten Einreise nicht an die fremdenpolizeilichen Vorschriften halten, als hoch eingeschätzt werden.</w:t>
      </w:r>
    </w:p>
    <w:p>
      <w:r>
        <w:rPr>
          <w:b/>
        </w:rPr>
        <w:t>E. 9.2</w:t>
      </w:r>
    </w:p>
    <w:p>
      <w:r>
        <w:t>Bei der Gesuchstellerin handelt es sich um eine 27-jährige, ledige und kinderlose Frau. An nahen Verwandten hat sie in Vietnam die Eltern und einen Bruder. Der Beschwerdeführer weist in seiner Beschwerdeschrift zwar auf das Bestehen von familiären Verantwortlichkeiten hin, versäumt es aber, diese zu konkretisieren. Mit der Pflege der an Krebs erkrankten Mutter oblagen der Gesuchstellerin zwar vorübergehend besondere Pflichten. Allerdings ist die Mutter nach Darstellung des Beschwerdeführers inzwischen erfolgreich operiert worden und soll sich von diesem Eingriff weitgehend erholt haben. Unter diesen Umständen und aufgrund der Tatsache, dass die Gesuchstellerin ohne besonderen Anlass eine längerfristige Auslandabwesenheit plant, kann jedenfalls nicht angenommen werden, es bestehe zur Zeit ein zwingender Betreuungsbedarf.</w:t>
      </w:r>
    </w:p>
    <w:p>
      <w:r>
        <w:rPr>
          <w:b/>
        </w:rPr>
        <w:t>E. 9.3</w:t>
      </w:r>
    </w:p>
    <w:p>
      <w:r>
        <w:t>Die Gesuchstellerin geht offenbar seit längerem keiner Erwerbstätigkeit mehr nach. Der Beschwerdeführer betonte zwar, sie habe eine Stelle aufgegeben, um ihrer Mutter beistehen zu können und sie werde nach ihrer Rückkehr vom geplanten Besuchsaufenthalt in der Schweiz wieder eine Arbeit suchen. Wie gross ihre Chancen sind, innert nützlicher Frist wieder eine Arbeitsstelle zu finden, lässt sich nicht abschätzen. Unklar ist auch, wie sich die wirtschaftliche Situation der Gesuchstellerin zurzeit präsentiert. In einem Schreiben vom 19. Dezember 2007 an die Adresse der Schweizerischen Botschaft in Hanoi hatte sie immerhin festgehalten, dass sie und ihre Mutter vom Beschwerdeführer unterstützt würden.</w:t>
      </w:r>
    </w:p>
    <w:p>
      <w:r>
        <w:rPr>
          <w:b/>
        </w:rPr>
        <w:t>E. 10</w:t>
      </w:r>
    </w:p>
    <w:p>
      <w:r>
        <w:t>Vor dem aufgezeigten persönlichen und allgemeinen Hintergrund durfte die Vorinstanz demnach davon ausgehen, dass keine hinreichende Gewähr für eine fristgerechte und anstandslose Wiederausreise der Gesuchstellerin nach einem Besuchsaufenthalt bestehe. An dieser Beurteilung vermögen auch die Einwände des Beschwerdeführers nichts zu ändern, wonach er eine Garantieverpflichtung eingegangen sei und sich persönlich um die Wiederausreise der Gesuchstellerin kümmern werde. Die Integrität des Beschwerdeführers in seiner Eigenschaft als Gastgeber wird nicht in Zweifel gezogen. Indessen sind bei der Abwägung des Risikos einer nicht fristgerechten Wiederausreise nicht so sehr die Einstellung und Absichten des Gastgebers, sondern in erster Linie das mögliche Verhalten des Gastes selbst von Bedeutung. Nur Letzterer ist in der Lage, hinreichend Gewähr für eine fristgerechte und anstandslose Wiederausreise zu bieten. Der Gastgeber kann zwar für gewisse finanzielle Risiken Garantie leisten, nicht aber - mangels rechtlicher und faktischer Durchsetzbarkeit - für ein bestimmtes Verhalten des Gastes (vgl. anstelle vieler: Urteil des Bundesverwaltungsgerichts C-6950/2007 vom 7. November 2008 E. 8). Dementsprechend würde auch die Garantieverpflichtung solcher Personen - wie sie der Beschwerdeführer abgegeben hat - an der vorgenommenen Beurteilung nichts ändern, da auch sie nicht für die fristgerechte Wiederausreise der Gesuchstellerin garantieren könnten.</w:t>
      </w:r>
    </w:p>
    <w:p>
      <w:r>
        <w:rPr>
          <w:b/>
        </w:rPr>
        <w:t>E. 11</w:t>
      </w:r>
    </w:p>
    <w:p>
      <w:r>
        <w:t>Aus diesen Darlegungen folgt, dass die angefochtene Verfügung im Lichte von Art. 49 VwVG nicht zu beanstanden ist. Die Beschwerde ist demzufolge abzuweisen.</w:t>
      </w:r>
    </w:p>
    <w:p>
      <w:r>
        <w:rPr>
          <w:b/>
        </w:rPr>
        <w:t>E. 12</w:t>
      </w:r>
    </w:p>
    <w:p>
      <w:r>
        <w:t>Bei diesem Ausgang des Verfahrens sind die Kosten dem Beschwerdeführer aufzuerlegen (vgl. Art. 63 Abs. 1 VwVG i.V.m. Art. 1, Art. 2 und Art. 3 Bst. b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