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C-1508/2008 vom 27. Juni 2008</w:t>
      </w:r>
    </w:p>
    <w:p>
      <w:r>
        <w:t>Bundesverwaltungsgericht, 2008-06-27, DE</w:t>
      </w:r>
    </w:p>
    <w:p>
      <w:r>
        <w:rPr>
          <w:b/>
        </w:rPr>
        <w:t xml:space="preserve">Quelle: </w:t>
      </w:r>
      <w:r>
        <w:t>https://mcp.opencaselaw.ch/entscheid/bvger_C-1508_2008</w:t>
      </w:r>
    </w:p>
    <w:p>
      <w:r>
        <w:t>FR: TAF C-1508/2008 du 27 juin 2008</w:t>
      </w:r>
    </w:p>
    <w:p>
      <w:r>
        <w:t>IT: TAF C-1508/2008 del 27 giugno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einer Einreisebewilligung, welche vom Bundesverwaltungsgericht endgültig beurteilt werden (Art. 83 lit. c Ziff. 1 des Bundesgerichtsgesetzes vom 17. Juni 2005 [BGG, SR 173.110]).</w:t>
      </w:r>
    </w:p>
    <w:p>
      <w:r>
        <w:rPr>
          <w:b/>
        </w:rPr>
        <w:t>E. 1.2</w:t>
      </w:r>
    </w:p>
    <w:p>
      <w:r>
        <w:t>Gemäss Artikel 37 VGG richtet sich das Verfahren vor dem Bundesverwaltungsgericht nach dem Bundesgesetz über das Verwaltungsverfahren vom 20. Dezember 1968 (VwVG, SR 172.021), sofern dieses Gesetz nichts anderes bestimmt.</w:t>
      </w:r>
    </w:p>
    <w:p>
      <w:r>
        <w:rPr>
          <w:b/>
        </w:rPr>
        <w:t>E. 1.3</w:t>
      </w:r>
    </w:p>
    <w:p>
      <w:r>
        <w:t>Die Beschwerdeführerin ist gemäss Art. 48 VwVG zur Beschwerde legitimiert;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w:t>
      </w:r>
    </w:p>
    <w:p>
      <w:r>
        <w:rPr>
          <w:b/>
        </w:rPr>
        <w:t>E. 3</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Massgebend sind daher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 Demgegenüber richtet sich das Verfahren nach dem neuen Recht (Art. 126 Abs. 2 AuG).</w:t>
      </w:r>
    </w:p>
    <w:p>
      <w:r>
        <w:rPr>
          <w:b/>
        </w:rPr>
        <w:t>E. 4</w:t>
      </w:r>
    </w:p>
    <w:p>
      <w:r>
        <w:t>Ausländer und Ausländerinnen sind zur Anwesenheit in der Schweiz berechtigt, wenn sie eine Aufenthalts- oder Niederlassungsbewilligung haben oder keiner solchen bedürfen (Art. 1a aANAG). Gewisse Gruppen von Ausländerinnen und Ausländern benötigen für die Einreise in die Schweiz ein Visum (vgl. Art. 3 ff. aVEA).</w:t>
      </w:r>
    </w:p>
    <w:p>
      <w:r>
        <w:rPr>
          <w:b/>
        </w:rPr>
        <w:t>E. 4.1</w:t>
      </w:r>
    </w:p>
    <w:p>
      <w:r>
        <w:t>Für die Erteilung von Einreisevisa ist das BFM zuständig (Art. 23 Abs. 1 VEV i.V.m. Art. 6 AuG), welches über das vorliegende Gesuch vom 3. Dezember 2007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 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nachstehenden Visumsbestimmungen).</w:t>
      </w:r>
    </w:p>
    <w:p>
      <w:r>
        <w:rPr>
          <w:b/>
        </w:rPr>
        <w:t>E. 4.2</w:t>
      </w:r>
    </w:p>
    <w:p>
      <w:r>
        <w:t>Ein Einreisevisum wird verweigert, wenn die in Art. 1 aVEA aufgeführten Voraussetzungen nicht erfüllt sind (vgl. Art. 14 Abs. 1 aVEA). Insbesondere müssen Gesuchstellerinnen und Gesuchsteller, die in die Schweiz reisen möchten, Gewähr bieten, dass sie fristgerecht wieder ausreisen werden (Art. 1 Abs. 2 Bst. c aVEA).</w:t>
      </w:r>
    </w:p>
    <w:p>
      <w:r>
        <w:rPr>
          <w:b/>
        </w:rPr>
        <w:t>E. 5</w:t>
      </w:r>
    </w:p>
    <w:p>
      <w:r>
        <w:t>Die Gesuchstellerin kann sich auf keine Ausnahmeregelung berufen und unterliegt aufgrund ihrer Nationalität den allgemeinen Einreisevoraussetzungen (vgl. Art. 1-5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 Insbesondere ist zu überprüfen, ob die Vorinstanz unter Berücksichtigung der Verhältnisse im Herkunftsland des Gesuchstellers und unter Berücksichtigung der persönlichen Lebensumstände einen ermessensfehlerfreien Entscheid getroffen hat.</w:t>
      </w:r>
    </w:p>
    <w:p>
      <w:r>
        <w:rPr>
          <w:b/>
        </w:rPr>
        <w:t>E. 6.1</w:t>
      </w:r>
    </w:p>
    <w:p>
      <w:r>
        <w:t>Seit Beginn der US-Offensive im Februar 2007 hat sich die Sicherheitslage im Irak verbessert: Anschläge und Angriffe Aufständischer auf Zivilbevölkerung und Militär sind um mehr als 60 Prozent zurückgegangen. Ob der Erfolg der Sicherheitsoffensive nachhaltig zur Stabilisierung der Lage beizutragen vermag, ist jedoch fraglich und vor allem von der Entwicklung des politischen Prozesses abhängig. Die Region Bagdad - woher die Gesuchstellerin stammt - gilt nach wie vor als Region mit grosser Gewaltdichte; der dortige Alltag der Bevölkerung ist geprägt von gezielten Gewalttaten gegen Zivilisten, Selbstmordattentaten, Entführungen und anderen kriminellen Handlungen. Ein Schwerpunkt der Konflikte sind die Auseinandersetzungen zwischen sunnitischen und schiitischen extremistischen Gruppierungen und Milizen, deren Hauptziele darin bestehen, die Kontrolle über Bagdad zu gewinnen und eigene politische und religiöse Forderungen - wie die Schaffung von Enklaven für die eigene Glaubensgruppe und die Umverteilung wirtschaftlicher Ressourcen - durchzusetzen. Ein Grossteil der Gewalttaten richtet sich gegen die im Irak stationierten, US-geführten multinationalen Truppen. Allerdings gelten auch Privatpersonen, welche für bestimmte Institutionen im Irak arbeiten und deshalb von den Aufständischen als Unterstützer der multinationalen Truppen wahrgenommen werden, als potentielle Opfer. Zum gefährdeten Kreis gehören ebenfalls Regierungsbeamte und andere Personen, die mit der gegenwärtigen irakischen Verwaltung und deren Institutionen in Verbindung stehen. Gezielte Übergriffe finden schliesslich auch auf Angehörige bestimmter Berufe (Akademiker, Medienschaffende, Künstler, medizinisches Personal, Sportler) statt, zum einen wegen ihres gesellschaftlichen Status, aber auch wegen ihrer tatsächlichen oder vermeintlichen politischen Überzeugung, ihrer konfessionellen Zugehörigkeit oder ihrer als unislamisch bzw. westlich empfundenen Verhaltensweisen. Im letztgenannten Fall gehören auch Frauen, die sich nicht an den islamischen Verhaltenskodex halten, zum Kreis potentieller Opfer. Zusammenfassend ist festzuhalten, dass trotz allgemeiner Verbesserung der Sicherheitslage seit Februar 2007 nach wie vor eine Situation besteht, die stark von Gewalt geprägt ist und pro Tag zirka 25 irakische Opfer fordert (zur aktuellen Situation im Irak vgl. Urteil des Bundesverwaltungsgerichts D-4404/2006 vom 2. Mai 2008 E. 6 mit Quellenhinweisen).</w:t>
      </w:r>
    </w:p>
    <w:p>
      <w:r>
        <w:rPr>
          <w:b/>
        </w:rPr>
        <w:t>E. 6.2</w:t>
      </w:r>
    </w:p>
    <w:p>
      <w:r>
        <w:t>Es wäre jedoch zu schematisch und nicht haltbar, ausschliesslich aufgrund der allgemeinen Lage im Herkunftsland auf eine nicht hinreichend gesicherte Ausreise zu schliessen. Die soeben dargelegten Umstände entbinden daher nicht von einer einzelfallbezogenen Beurteilung. Namentlich können berufliche, gesellschaftliche oder familiäre Verpflichtungen die Prognose einer anstandslosen Wiederausreise begünstigen.</w:t>
      </w:r>
    </w:p>
    <w:p>
      <w:r>
        <w:rPr>
          <w:b/>
        </w:rPr>
        <w:t>E. 7.1</w:t>
      </w:r>
    </w:p>
    <w:p>
      <w:r>
        <w:t>Die Gesuchstellerin ist knapp 35 Jahre alt, verheiratet und offensichtlich kinderlos. Aus dem Akteninhalt geht weiterhin hervor, dass sie bei einer Regierungsbehörde (state company of geological survey and mining, ministry of industry and minerals) angestellt ist, allerdings fehlen Angaben zu ihren näheren familiären, beruflichen und finanziellen Verhältnissen. Auf diese klärungsbedürftigen Punkte hat auch die Vorinstanz in ihrer Vernehmlassung hingewiesen; von Seiten der Beschwerdeführer erfolgte hierzu jedoch keine Stellungnahme. Zu recht stellt sich daher die Frage, ob die im Heimatland bestehenden Bindungen der Gesuchstellerin ausreichend sind, um sie zur Rückkehr motivieren zu können. Insbesondere vor dem Hintergrund der geschilderten Sicherheitslage im Irak und dem Umstand, dass sich auch Zivilisten den alltäglichen latenten Bedrohungen kaum entziehen können, ist nicht auszuschliessen, dass die Gesuchstellerin nach ihrer Einreise in der Schweiz verbleiben möchte.</w:t>
      </w:r>
    </w:p>
    <w:p>
      <w:r>
        <w:rPr>
          <w:b/>
        </w:rPr>
        <w:t>E. 7.2</w:t>
      </w:r>
    </w:p>
    <w:p>
      <w:r>
        <w:t>Das mit dem Visumsgesuch verfolgte Ziel, die Beschwerdeführerin nach erfolgter Operation von den anfallenden Arbeiten im Haushalt zu entlasten, ist zwar nachvollziehbar. Allerdings führt der glaubhaft dargelegte Besuchszweck, den die Beschwerdeführer mit ärztlichen Bescheinigungen bzw. Unterstützungsschreiben zu verdeutlichen versuchen, nicht zu einer anderen Einschätzung des dargelegten Emigrationsrisikos. Darüberhinaus bestehen auch Zweifel, ob der Zweck des Aufenthalts von einem Besuchervisum überhaupt gedeckt sein kann (vgl. Art. 11 aVEA). Arbeitsleistungen in Haushalt und/oder Familie - selbst wenn sie nur stunden- oder tageweise bzw. vorübergehend ausgeübt werden - gelten unbesehen einer allfälligen Entlöhnung zumindest dort als (bewilligungspflichtige) Erwerbstätigkeit, wo der Erwerbscharakter nicht durch eine besondere verwandtschaftliche und emotionale Nähe in den Hintergrund gedrängt wird (vgl. Art. 6 der Verordnung vom 6. Oktober 1986 über die Begrenzung der Zahl der Ausländer [aBVO], AS 1986 1791; Urteile des Bundesverwaltungsgerichts C-737/2006 vom 7. Mai 2008 E. 6 und C-3793/2007 vom 29. August 2007 E. 5.3). Die von der Gesuchstellerin beabsichtigte Mithilfe im Haushalt und bei der Betreuung ihrer drei Neffen/Nichten würde vermutungsweise als bewilligungspflichtige Erwerbstätigkeit gelten und wäre demnach mit einem Aufenthalt zu Besuchszwecken nicht vereinbar. Ob der Erteilung des beantragten Visums somit Hinderungsgründe im Sinne von Art. 14 Abs. 2 Bst. c aVEA entgegenstünden, kann aber letztlich offen bleiben.</w:t>
      </w:r>
    </w:p>
    <w:p>
      <w:r>
        <w:rPr>
          <w:b/>
        </w:rPr>
        <w:t>E. 8</w:t>
      </w:r>
    </w:p>
    <w:p>
      <w:r>
        <w:t>Wie oben (E. 2) dargelegt, muss sich das Bundesverwaltungsgericht nicht darauf beschränken, den von der Vorinstanz angeführten Aspekt der fristgerechten Wiederausreise zu überprüfen. Abgesehen davon gibt es auch Anhaltspunkte dafür, dass der Lebensunterhalt der Gesuchstellerin während ihres hiesigen Aufenthalts nicht sichergestellt sein könnte (vgl. Art. 1 Abs. 2 Bst. d aVEA). Den vorinstanzlichen Akten ist nämlich zu entnehmen, dass die Beschwerdeführer im Zeitpunkt des Einreisegesuchs - d.h. im Dezember 2007 - und auch in den Vormonaten Sozialhilfe in Höhe von jeweils rund 2'900 Franken bezogen haben. Dies macht deutlich, dass die eingeschränkten finanziellen Möglichkeiten es der Gastgeberfamilie gar nicht erlauben, für die Aufenthaltskosten der Gesuchstellerin - die eigenen Angaben zufolge nicht über entsprechende Mittel verfügt - aufzukommen. Hierzu zählt nämlich nicht nur der Aufwand für Verpflegung und Unterkunft; vielmehr sind auch nur eventuell anfallende Krankheits-, Unfall- und Rückschaffungskosten (für welche die Kantone in der Regel finanzielle Garantien der Gastgeber verlangen) miteinzubeziehen. Vor diesem Hintergrund ist festzustellen, dass nicht nur die oben (E. 6 und 7) dargelegten Umstände gegen die Einreise der Gesuchstellerin sprechen, sondern dass auch die für die Visumserteilung erforderliche Voraussetzung der gesicherten Finanzierung des Aufenthalts nicht gegeben ist.</w:t>
      </w:r>
    </w:p>
    <w:p>
      <w:r>
        <w:rPr>
          <w:b/>
        </w:rPr>
        <w:t>E. 9</w:t>
      </w:r>
    </w:p>
    <w:p>
      <w:r>
        <w:t>Zu Recht ist die Vorinstanz davon ausgegangen, die fristgerechte Wiederausreise der Beschwerdeführerin sei nicht gewährleistet. Unter den gegebenen Umständen steht aber auch fest, dass der Lebensunterhalt der Gesuchstellerin während ihres hiesigen Aufenthalts nicht sichergestellt wäre und dass der von ihr angegebene Besuchszweck, soweit er eine normalerweise auf Erwerb ausgerichtete Tätigkeit beinhaltet, nicht zulässig wäre. Das Fehlen der genannten Einreisevoraussetzungen - wobei bereits eine für sich allein genommen ausreicht - schliesst daher die Erteilung einer Einreisebewilligung aus (vgl. Art. 14 Abs. 1 i.V.m. Art. 1 Abs. 2 Bst. c und d sowie Art. 14 Abs. 2 Bst. c aVEA).</w:t>
      </w:r>
    </w:p>
    <w:p>
      <w:r>
        <w:rPr>
          <w:b/>
        </w:rPr>
        <w:t>E. 10</w:t>
      </w:r>
    </w:p>
    <w:p>
      <w:r>
        <w:t>Aus diesen Darlegungen folgt, dass die angefochtene Verfügung im Ergebnis rechtmässig ist (Art. 49 VwVG). Die Beschwerde ist demzufolge abzuweisen.</w:t>
      </w:r>
    </w:p>
    <w:p>
      <w:r>
        <w:rPr>
          <w:b/>
        </w:rPr>
        <w:t>E. 11</w:t>
      </w:r>
    </w:p>
    <w:p>
      <w:r>
        <w:t>Bei diesem Ausgang des Verfahrens sind die Kosten den Beschwerdeführern aufzuerlegen (vgl. Art. 63 Abs. 1 VwVG i.V.m. Art. 1 und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