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C-1507/2012 vom 27. Februar 2013</w:t>
      </w:r>
    </w:p>
    <w:p>
      <w:r>
        <w:t>Bundesverwaltungsgericht, 2013-02-27, DE</w:t>
      </w:r>
    </w:p>
    <w:p>
      <w:r>
        <w:rPr>
          <w:b/>
        </w:rPr>
        <w:t xml:space="preserve">Quelle: </w:t>
      </w:r>
      <w:r>
        <w:t>https://mcp.opencaselaw.ch/entscheid/bvger_C-1507_2012</w:t>
      </w:r>
    </w:p>
    <w:p>
      <w:r>
        <w:t>FR: TAF C-1507/2012 du 27 février 2013</w:t>
      </w:r>
    </w:p>
    <w:p>
      <w:r>
        <w:t>IT: TAF C-1507/2012 del 27 febbraio 2013</w:t>
      </w:r>
    </w:p>
    <w:p>
      <w:pPr>
        <w:pStyle w:val="Heading2"/>
      </w:pPr>
      <w:r>
        <w:t>Regeste</w:t>
      </w:r>
    </w:p>
    <w:p>
      <w:r>
        <w:t>Mindestbeitragsdauer</w:t>
      </w:r>
    </w:p>
    <w:p>
      <w:pPr>
        <w:pStyle w:val="Heading2"/>
      </w:pPr>
      <w:r>
        <w:t>Erwägungen</w:t>
      </w:r>
    </w:p>
    <w:p>
      <w:r>
        <w:rPr>
          <w:b/>
        </w:rPr>
        <w:t>E. 3</w:t>
      </w:r>
    </w:p>
    <w:p>
      <w:r>
        <w:t>Vorliegend ist strittig und vom Bundesverwaltungsgericht zu prüfen, ob die SAK bei der Ermittlung der Beitragsdauer der Beschwerdeführerin zu Recht davon ausgegangen ist, dass diese in der Schweiz keine Beitragszeiten erfüllt und deshalb keinen Rentenanspruch hat.</w:t>
      </w:r>
    </w:p>
    <w:p>
      <w:r>
        <w:rPr>
          <w:b/>
        </w:rPr>
        <w:t>E. 3.1</w:t>
      </w:r>
    </w:p>
    <w:p>
      <w:r>
        <w:t>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3.2</w:t>
      </w:r>
    </w:p>
    <w:p>
      <w:r>
        <w:t>Gemäss Art. 44 Abs. 1 der Verordnung Nr. 1408/71 sind die Leis­tungsansprüche eines Arbeitnehmers oder eines Selbständigen, für den die Rechtsvorschriften von zwei oder mehr Mitgliedstaaten gal­ten, und die Leistungsansprüche seiner Hinterbliebenen nach diesem Kapitel (Art. 44 bis Art. 51a) festzustellen. Ist nach den Rechtsvor­schriften eines Mitgliedstaats der Erwerb, die Auf­rechterhaltung oder das Wiederaufleben des Anspruchs auf die Leistungen eines Systems, das kein Sondersystem im Sinne des Abs. 2 oder 3 ist, davon ab­hängig, dass Versicherungs- oder Wohn­zeiten zurückgelegt worden sind, berücksichtigt der zuständige Träger dieses Mitgliedstaats, soweit er­forderlich, die nach den Rechtsvor­schriften jedes anderen Mitglied­staats zurückgelegten Versicherungs- oder Wohnzeiten; dabei ist unwesentlich, ob diese in einem allge­mei­nen oder in einem Sondersystem, in einem System für Arbeitnehmer oder in einem System für Selbstständige zurückgelegt worden sind. Zu diesem Zweck berücksichtigt er diese Zeiten, als ob es sich um nach den von ihm anzuwendenden Rechtsvorschriften zurückgelegte Zeiten handelte (Art. 45 Abs. 1 Verordnung Nr. 1408/71). Sind die Voraussetzungen für den Leis­tungsanspruch nach den Rechts­vorschriften eines Mitgliedstaats nur nach Anwendung des Art. 45 und/oder des Art. 40 Abs. 3 erfüllt, so gilt Folgendes: Der zuständige Träger berechnet den theoretischen Betrag der Leis­tung, auf die die betreffende Person Anspruch hätte, wenn alle nach den für den Arbeitnehmer oder Selbstständigen geltenden Rechts­vor­schriften der Mitgliedstaaten zurückgelegten Versicherungs- und/oder Wohnzeiten nur in dem betreffenden Staat und nach den für diesen Träger zum Zeitpunkt der Feststellung der Leistung geltenden Rechts­vorschriften zurückgelegt worden wären. Ist nach diesen Rechts­vorschriften der Betrag der Leistung von der Dauer der zurückgelegten Zeiten unabhängig, so gilt dieser Betrag als theoretischer Betrag (Art. 46 Abs. 2 lit. a Verordnung Nr. 1408/71). Der zuständige Träger ermittelt sodann den tatsächlich geschuldeten Betrag auf der Grundlage des unter Buchstabe a) genannten theo­retischen Betrages nach dem Verhältnis zwischen den nach seinen Rechtsvorschriften vor Eintritt des Versicherungsfalles zurückgelegten Versicherungs- oder Wohnzeiten und den gesamten nach den Rechts­vorschriften aller beteiligten Mitgliedstaaten vor Eintritt des Versiche­rungs­falles zurückgelegten Versicherungs- und Wohnzeiten (Art. 46 Abs. 2 lit. b Verordnung Nr. 1408/71). Der Träger eines Mitgliedstaats ist ungeachtet des Art. 46 Abs. 2 nicht ver­pflichtet, Leistungen aus Zeiten zu gewähren, die nach den von ihm an­ge­wendeten Rechtsvorschriften zurückgelegt wurden und im Zeit­punkt des Versicherungsfalls zu berücksichtigen sind, wenn die Dauer dieser Zeiten weniger als ein Jahr beträgt und auf Grund allein dieser Zeiten kein Leistungsanspruch nach diesen Rechtsvorschriften erwor­ben worden ist (Art. 48 Abs. 1 Verordnung Nr. 1408/71). Die in Abs. 1 genannten Zeiten werden vom zuständigen Träger jedes anderen Mit­gliedstaats bei der Anwendung von Art. 46 Abs. 2 - mit Ausnahme von lit. b - berücksichtigt (Art. 48 Abs. 2 Verordnung Nr. 1408/71).</w:t>
      </w:r>
    </w:p>
    <w:p>
      <w:r>
        <w:rPr>
          <w:b/>
        </w:rPr>
        <w:t>E. 3.3</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3.3.1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3.3.2</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Erw. 3b und 3d).</w:t>
      </w:r>
    </w:p>
    <w:p>
      <w:r>
        <w:rPr>
          <w:b/>
        </w:rPr>
        <w:t>E. 3.3.3</w:t>
      </w:r>
    </w:p>
    <w:p>
      <w:r>
        <w:t>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w:t>
      </w:r>
    </w:p>
    <w:p>
      <w:r>
        <w:rPr>
          <w:b/>
        </w:rPr>
        <w:t>E. 3.4</w:t>
      </w:r>
    </w:p>
    <w:p>
      <w:r>
        <w:t>Die Beschwerdeführerin machte vorliegend geltend, sie habe von Januar 1968 bis April/Mai 1969 bei A._______ in Solothurn gearbeitet und ihren Wohnsitz in B._______ im Kanton Solothurn gehabt.</w:t>
      </w:r>
    </w:p>
    <w:p>
      <w:r>
        <w:rPr>
          <w:b/>
        </w:rPr>
        <w:t>E. 3.5</w:t>
      </w:r>
    </w:p>
    <w:p>
      <w:r>
        <w:t>Die SAK führte demgegenüber aus, trotz verschiedener Nachforschungen sei es nicht möglich gewesen, für die behaupteten Beitragszeiten Belege zu finden. Eine Korrektur des individuellen Kontos sei deshalb nicht möglich.</w:t>
      </w:r>
    </w:p>
    <w:p>
      <w:r>
        <w:rPr>
          <w:b/>
        </w:rPr>
        <w:t>E. 3.6</w:t>
      </w:r>
    </w:p>
    <w:p>
      <w:r>
        <w:t>Wie erwähnt, ist für die Korrektur eines individuellen Kontos erforderlich, dass der behauptete Sachverhalt nachgewiesen ist, sofern die Unrichtigkeit nicht offenkundig ist. In casu ist die Unrichtigkeit des individuellen Kontos nicht offenkundig, weshalb der Eintrag nur durch den Nachweis eines anderen Sachverhalts korrigiert werden kann. Trotz Nachfrage der SAK bei der Ausgleichskasse des Kantons Solothurn (vgl. SAK-act. 4) und beim Migrationsamt des Kantons Solothurn (vgl. SAK-act. 15) konnten keine Versicherungs- respektive Beitragszeiten ausfindig gemacht werden. Auch die Beschwerdeführerin konnte den Beweis für ein Einkommen mit den entsprechenden Sozialabzügen in diesem Zeitraum nicht erbringen, da sie namentlich weder Lohnabrechnungen noch einen Lohnausweis eingereicht hat. Hinweise auf das Vorliegen von anderen aussagekräftigen Beweismittel liegen zudem keine vor, hat doch auch die Beschwerdeführerin ausgeführt, sie habe keine Beweismittel. Zusammenfassend ist deshalb festzuhalten, dass die Beschwerdeführerin nicht nachzuweisen vermochte, dass sie die Mindestbeitragspflicht gemäss Art. 29 Abs. 1 AHVG, welche gemäss Art. 48 Abs. 1 Verordnung Nr. 1408/71 auch im europäischen Verhältnis massgebend ist, erfüllt hat. Der SAK ist zudem nicht vorzuwerfen, sie hätten den Sachverhalt ungenügend abgeklärt, holte sie doch ihrerseits bei der Ausgleichskasse Auskünfte über allfällige abgerechnete Löhne ein, woraus sich jedoch nichts zu Gunsten der Beschwerdeführerin ableiten liess. Zusammenfassend ist somit festzuhalten, dass die SAK der Beschwerdeführerin zu Recht keine Beitragszeit angerechnet hat, da weder die Versicherteneigenschaft noch die erforderlichen Beitragsleistungen für die behaupteten Versicherungszeiten festgestellt werden konnten. Mangels Erfüllung der Mindestbeitragszeit kann die Beschwerdeführerin somit keinen Anspruch auf eine Altersrente der schweizerischen Alters-, Hinterlassenen- und Invalidenversicherung ableiten. Die Beschwerde ist demzufolge im einzelrichterlichen Verfahren gemäss Art. 23 Abs. 2 VGG in Verbindung mit Art. 85bis Abs. 3 AHVG abzuweisen.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