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C-1506/2010 vom 23. August 2011</w:t>
      </w:r>
    </w:p>
    <w:p>
      <w:r>
        <w:t>Bundesverwaltungsgericht, 2011-08-23, FR</w:t>
      </w:r>
    </w:p>
    <w:p>
      <w:r>
        <w:rPr>
          <w:b/>
        </w:rPr>
        <w:t xml:space="preserve">Quelle: </w:t>
      </w:r>
      <w:r>
        <w:t>https://mcp.opencaselaw.ch/entscheid/bvger_C-1506_2010</w:t>
      </w:r>
    </w:p>
    <w:p>
      <w:r>
        <w:t>FR: TAF C-1506/2010 du 23 août 2011</w:t>
      </w:r>
    </w:p>
    <w:p>
      <w:r>
        <w:t>IT: TAF C-1506/2010 del 23 agosto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L'objet du litige selon la décision attaquée du 18 février 2010 est le bien-fondé suite à la révision du droit à la rente initiée en 2009 de la suppression avec effet au 1er avril 2010 de la demi-rente d'invalidité perçue par l'intéressé depuis le 1er janvier 2005 par décision initiale du 20 février 2007 de l'OAI-FR au motif d'une amélioration significative de son état de santé.</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suisses et de l'Union européenne qui présentent un degré d'invalidité de 40% au moins, ont droit à un quart de rente en application de l'art. 28 al. 2 LAI à partir du 1er juin 2002 s'ils ont leur domicile et leur résidence habituelle dans un Etat membre de l'UE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w:t>
      </w:r>
    </w:p>
    <w:p>
      <w:r>
        <w:rPr>
          <w:b/>
        </w:rPr>
        <w:t>E. 5.6</w:t>
      </w:r>
    </w:p>
    <w:p>
      <w:r>
        <w:t>En l'espèce, l'octroi de la rente entière par décision du 20 février 2007 de l'OAI-FR est la base de comparaison avec la décision de suppression du 18 février 2010 de l'OAIE.</w:t>
      </w:r>
    </w:p>
    <w:p>
      <w:r>
        <w:rPr>
          <w:b/>
        </w:rPr>
        <w:t>E. 6.1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6.2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En l'espèce, l'intéressé, dont l'accident remonte au 13 janvier 2004, a été mis au bénéfice d'une demi-rente d'invalidité dès le 1er janvier 2005 par décision du 20 février 2007 de l'OAI-FR au motif d'une mobilité fort réduite du membre supérieur droit consécutive à une fracture du coude avec suite d'ankylose, d'une fracture de l'épaule compliquée d'une capsulite rétractile au décours, d'une neuropathie cubitale sensitive et irritative, d'une fracture de la palette humérale traitée par ostéotomie de l'olécrane, atteintes malgré lesquelles il fut retenu que l'intéressé pouvait exercer toutes activités légères ne sollicitant pas le membre supérieur droit en raison de douleurs à sa mobilité et en cas d'efforts. Le 6 septembre 2007, peu avant son départ pour le Portugal, l'intéressé, qui auparavant avait repris une activité à 50% comme chauffeur de taxi, fut examiné par son médecin traitant le Dr B._______. Ce médecin n'indiqua alors plus de traitement en cours, un status stationnaire, des douleurs à l'épaule droite irradiant à la nuque et au coude et la possibilité d'exercer une activité légère adaptée sans port et levage de charges à 50% dont l'activité de chauffeur de taxi ou de livreur dans la mesure de faibles charges.</w:t>
      </w:r>
    </w:p>
    <w:p>
      <w:r>
        <w:rPr>
          <w:b/>
        </w:rPr>
        <w:t>E. 8.2.1</w:t>
      </w:r>
    </w:p>
    <w:p>
      <w:r>
        <w:t>Dans le cadre de la révision du droit à la rente initiée au début 2009, il est apparu du rapport médical du Dr C._______ du 17 juillet 2009 un diagnostic de consolidation vicieuse de l'humérus droit avec une arthrose sévère du coude et, relevé des plaintes de l'assuré, un état algique de l'épaule droite, du bras droit et du poignet droit entraînant, de l'avis du praticien, une incapacité pour le membre droit de faire des efforts et de lever des charges. Ce diagnostic et l'appréciation qui s'ensuivit est toutefois en contradiction avec le rapport E 213 du 13 août 2009 établi quelque un mois plus tard par la Sécurité sociale portugaise retenant certes une consolidation vicieuse post fracture de l'humérus droit et une rigidité du coude mais relevant que les atteintes permettaient des travaux même moyennement lourds sans port et soulèvements fréquents de charges, dont l'exercice de l'ancienne activité de maçon et l'activité adaptée à temps complet de chauffeur de taxi. Le rapport précisa que selon la législation portugaise l'incapacité de travail était estimée à 15%.</w:t>
      </w:r>
    </w:p>
    <w:p>
      <w:r>
        <w:rPr>
          <w:b/>
        </w:rPr>
        <w:t>E. 8.2.2</w:t>
      </w:r>
    </w:p>
    <w:p>
      <w:r>
        <w:t>Le Dr D._______ de l'OAIE, dans ses rapports des 2 et 19 octobre 2009, ne retint pas la possibilité pour l'assuré de reprendre son activité de maçon, même à temps partiel, mais considéra au vu de la nouvelle documentation médicale que l'intéressé pouvait exercer dès le 17 juillet 2009 une activité légère adaptée à 100% telles celles non exhaustives de surveillant de parking ou de musée, de vente par correspondance, de distribution de courrier interne, de commissionnaire, de personnel d'accueil, réceptionniste, standardiste, téléphoniste. Dans un rapport du 27 juin 2010 le Dr D._______ indiqua en réponse à l'allégué des douleurs du bras droit en relation avec la conduite d'un véhicule que l'activité exigible était totale dans le cadre d'une activité adaptée et l'incapacité de travail de 40% en tant que chauffeur de taxi.</w:t>
      </w:r>
    </w:p>
    <w:p>
      <w:r>
        <w:rPr>
          <w:b/>
        </w:rPr>
        <w:t>E. 8.3.1</w:t>
      </w:r>
    </w:p>
    <w:p>
      <w:r>
        <w:t>L'appréciation du service médical de l'OAIE peut être suivie par le Tribunal de céans au vu même du rapport E 213 qui, s'il ne peut être entièrement suivi dans le sens de la possibilité de reprendre l'activité de maçon, retient explicitement qu'une activité de substitution adaptée est exigible à 100%. En tout les cas, si l'invalidité a été évaluée à 15% selon la législation portugaise - ce qui n'est pas déterminant pour l'OAIE - elle ne saurait être telle qu'elle ne permettrait pas des travaux légers à plein temps dans une activité adaptée et se monter à une incapacité de 40% et plus selon les critères de l'assurance-invalidité suisse. Il convient en outre de relever que cette évaluation correspond à celle de la SUVA qui, dans sa décision sur opposition du 7 octobre 2008, avait confirmé l'existence d'une capacité de travail résiduelle de 100% dans une activité de substitution.</w:t>
      </w:r>
    </w:p>
    <w:p>
      <w:r>
        <w:rPr>
          <w:b/>
        </w:rPr>
        <w:t>E. 8.3.2</w:t>
      </w:r>
    </w:p>
    <w:p>
      <w:r>
        <w:t>Enfin, le recourant produisit un ultime rapport médical du Dr B._______ daté du 13 mai 2011. Ce rapport, dont il y a lieu de relever qu'il se rapporte à une consultation du 16 mars 2010 n'apporte pas d'élément nouveau par rapport au rapport précédant de ce médecin du 16 mars 2010. Il n'est d'ailleurs pas contesté que l'intéressé ne peut exercer une activité sollicitant son membre supérieur droit avec une certaine intensité. Quant aux douleurs au poignet, il y a lieu de relever qu'elles ne sont pas documentées par un suivi médical et que le simple énoncé de douleurs non documentées ne saurait entraîner la reconnaissance d'un état invalidant. Il s'ensuit que l'appréciation par l'ancien médecin traitant de l'intéressé d'une capacité de travail de 50% dans une activité même adaptée ne saurait dès lors être crédible, le Dr B._______ n'ayant d'ailleurs ni étayé ni justifié la limitation avancée. En conséquence une pleine capacité de travail dans une activité adaptée ne sollicitant pas outre mesure le membre supérieur droit, comme les activités retenues par le Dr D._______, peut être confirmée à compter de juillet/août 2009.</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9.3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10.1</w:t>
      </w:r>
    </w:p>
    <w:p>
      <w:r>
        <w:t>En l'espèce il y a lieu de procéder à une évaluation de l'invalidité selon la méthode générale par une comparaison de revenus sur la base du revenu de l'intéressé avant son atteinte à la santé indexé 2009 et de l'Enquête suisse sur la structure des salaires 2008 indexé 2009 car c'est à compter de juillet/août 2009 que l'intéressé a présenté une capacité de travail entière déterminante dans une activité adaptée. En effet, selon la jurisprudence, les salaires avant et après invalidité doivent être pris en compte indexés jusqu'à la date de la survenance du droit théorique éventuel à la rente (ATF 128 V 174 et 129 V 222).</w:t>
      </w:r>
    </w:p>
    <w:p>
      <w:r>
        <w:rPr>
          <w:b/>
        </w:rPr>
        <w:t>E. 10.2</w:t>
      </w:r>
    </w:p>
    <w:p>
      <w:r>
        <w:t>L'OAIE a retenu comme base de comparaison sans invalidité, le revenu théorique de l'intéressé en 2005 (construction: 114 pts base de 100 en 1993) de Fr. 5'744.17 extrapolé sur la base de son revenu effectif annualisé en 2002. Indexé 2009 (construction: 121.8 pts base de 100 en 1993) ce montant s'élève à Fr. 6'137.19.</w:t>
      </w:r>
    </w:p>
    <w:p>
      <w:r>
        <w:rPr>
          <w:b/>
        </w:rPr>
        <w:t>E. 10.3</w:t>
      </w:r>
    </w:p>
    <w:p>
      <w:r>
        <w:t>Le salaire après invalidité doit être fixé sur la base des données résultant de l'Enquête suisse sur les salaires 2008 (table TA1) suivies d'une indexation 2009. En l'occurrence les activités de substitution proposées par le Dr Chr. Rais s'inscrivent dans la détermination du revenu médian toutes branches confondues dans le secteur privé pour des activités simples et répétitives (niveau 4) à 100%, soit Fr. 4'806.- pour 40 h./sem. et Fr. 4'998.24 pour 41.6 h./sem. selon l'horaire moyen hebdomadaire, sous déduction d'un abattement selon le Tribunal de céans non de 5% mais de 15% pour tenir compte des restrictions personnelles de l'intéressé à des activités légères. Une déduction de 15% se justifie du fait qu'il est patent que même pour des travaux légers la restriction d'un bras chez un manuel occasionne une diminution de rendement consistante (s'agissant du pouvoir de rectifier le taux d'abattement: ATF 137 V 71 consid. 5.2), soit Fr. 4'248.50.-. Indexé 2009 (+ 2.1%), ce montant s'élève à Fr. 4'337.72. De nombreuses activités d'entre elles peuvent être exercées sans ports et soulèvement de charges fréquents, sans sollicitations constantes des deux bras de sorte que ces activités sont adaptées au handicap du recourant. La majeure partie de ces postes ne nécessite pas de formation particulière autre qu'une mise au courant initiale.</w:t>
      </w:r>
    </w:p>
    <w:p>
      <w:r>
        <w:rPr>
          <w:b/>
        </w:rPr>
        <w:t>E. 10.4</w:t>
      </w:r>
    </w:p>
    <w:p>
      <w:r>
        <w:t>En comparant le salaire avant invalidité de Fr. 6'137.19 avec celui après invalidité de Fr. 4'337.72, on obtient une perte de gain de 29.32% arrondie à 29% ([6'137.19 - 4'337.72] : 6'137.19 x 100). Même indexés valeurs 2010, année de la décision attaquée, les revenus à comparer ne permettent pas d'atteindre un taux d'invalidité égal ou supérieur à 40%. Il appert de ce qui précède que le recours doit être rejeté et la décision attaquée confirmée.</w:t>
      </w:r>
    </w:p>
    <w:p>
      <w:r>
        <w:rPr>
          <w:b/>
        </w:rPr>
        <w:t>E. 11</w:t>
      </w:r>
    </w:p>
    <w:p>
      <w:r>
        <w:t>Dans le cadre de cette révision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12.1</w:t>
      </w:r>
    </w:p>
    <w:p>
      <w:r>
        <w:t>Les frais de procédure, fixés à CHF 300.-, sont mis à la charge du recourant (art. 63 al. 1 PA, applicable par le truchement de l'art. 37 LTAF). Ils sont compensés par l'avance de frais du même montant dont il s'est acquitté au cours de l'instruction.</w:t>
      </w:r>
    </w:p>
    <w:p>
      <w:r>
        <w:rPr>
          <w:b/>
        </w:rPr>
        <w:t>E. 12.2</w:t>
      </w:r>
    </w:p>
    <w:p>
      <w:r>
        <w:t>Vu l'issue du litige, 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