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C-1489/2021 vom 2. Mai 2023</w:t>
      </w:r>
    </w:p>
    <w:p>
      <w:r>
        <w:t>Bundesverwaltungsgericht, 2023-05-02, DE</w:t>
      </w:r>
    </w:p>
    <w:p>
      <w:r>
        <w:rPr>
          <w:b/>
        </w:rPr>
        <w:t xml:space="preserve">Quelle: </w:t>
      </w:r>
      <w:r>
        <w:t>https://mcp.opencaselaw.ch/entscheid/bvger_C-1489_2021</w:t>
      </w:r>
    </w:p>
    <w:p>
      <w:r>
        <w:t>FR: TAF C-1489/2021 du 2 mai 2023</w:t>
      </w:r>
    </w:p>
    <w:p>
      <w:r>
        <w:t>IT: TAF C-1489/2021 del 2 maggio 2023</w:t>
      </w:r>
    </w:p>
    <w:p>
      <w:pPr>
        <w:pStyle w:val="Heading2"/>
      </w:pPr>
      <w:r>
        <w:t>Regeste</w:t>
      </w:r>
    </w:p>
    <w:p>
      <w:r>
        <w:t>Rente</w:t>
      </w:r>
    </w:p>
    <w:p>
      <w:pPr>
        <w:pStyle w:val="Heading2"/>
      </w:pPr>
      <w:r>
        <w:t>Erwägungen</w:t>
      </w:r>
    </w:p>
    <w:p>
      <w:r>
        <w:rPr>
          <w:b/>
        </w:rPr>
        <w:t>E. 1</w:t>
      </w:r>
    </w:p>
    <w:p>
      <w:r>
        <w:t>VwVG) eingereicht wurde, ist auf sie einzutreten.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 waltungsgericht Beschwerden von Personen im Ausland gegen Verfügun- 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 versicherungsrechts (ATSG, SR 830.1) anwendbar ist. Gemäss Art. 1 Abs. 1 AHVG sind die Bestimmungen des ATSG auf die im ersten Teil ge- regelte Alters- und Hinterlassenenversicherung anwendbar,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 dass sie im Sinne von Art. 59 ATSG beschwerdelegiti- miert ist.</w:t>
      </w:r>
    </w:p>
    <w:p>
      <w:r>
        <w:rPr>
          <w:b/>
        </w:rPr>
        <w:t>E. 1.4.1</w:t>
      </w:r>
    </w:p>
    <w:p>
      <w:r>
        <w:t>Die Beschwerde ist innerhalb von 30 Tagen nach der Eröffnung des Einspracheentscheids einzureichen (Art. 60 Abs. 1 ATSG; Art. 50 Abs. 1 VwVG). Berechnet sich eine Frist nach Tagen oder Monaten und bedarf sie der Mitteilung an die Partei, beginnt sie am Tag nach ihrer Mitteilung zu laufen (Art. 38 Abs. 1 ATSG; Art. 20 Abs. 1 VwVG). Schriftliche Eingaben sind spätestens am letzten Tag der Frist der Behörde einzureichen oder zu deren Handen der Schweizerischen Post oder einer schweizerischen dip- lomatischen oder konsularischen Vertretung zu übergeben (Art. 39 Abs. 1 ATSG, Art. 21 Abs. 1 VwVG). Die Beschwerdeführerin trägt die Beweislast für die rechtzeitig erhobene Beschwerde (vgl. Urteil des BGer 6B_99/2017 vom 27. April 2017 E. 3.6). Demgegenüber obliegt es gemäss Rechtspre- chung grundsätzlich der Vorinstanz, den Beweis der Tatsache sowie des Zeitpunktes der Zustellung des Einspracheentscheids zu erbringen (BGE 136 V 295 E. 5.9, 124 V 400 E. 2a, 117 V 261 E. 3b und 103 V 65 E. 2a; UELI KIESER, ATSG-Kommentar, 4. Aufl. 2020, Rz. 10 zu Art. 39</w:t>
      </w:r>
    </w:p>
    <w:p>
      <w:r>
        <w:t>C-1489/2021 Seite 6 ATSG). Wenn Zweifel bestehen, ist grundsätzlich auf die Darstellung des Empfängers abzustellen (BGE 124 V 400 E. 2a).</w:t>
      </w:r>
    </w:p>
    <w:p>
      <w:r>
        <w:rPr>
          <w:b/>
        </w:rPr>
        <w:t>E. 1.4.2</w:t>
      </w:r>
    </w:p>
    <w:p>
      <w:r>
        <w:t>Dass der angefochtene Einspracheentscheid der Beschwerdeführe- rin zugestellt wurde, ist vorliegend unbestritten und erstellt. Gemäss den Angaben der Vorinstanz ist es jedoch nicht möglich, den genauen Zeitpunkt dieser Zustellung anzugeben; die diesbezüglich durchgeführte Postnach- forschung verlief ergebnislos (vgl. BVGer-act. 7). Da sich weder aus den Akten noch den Äusserungen der Beschwerdeführerin Hinweise für eine verspätete Beschwerdeerhebung ergeben, ist gemäss dargestellter Rechtslage in casu mit der Vorinstanz von einer rechtzeitig erhobenen Be- schwerde auszugehen. Da die Laienbeschwerde im Weiteren knapp form- gerecht (vgl. Art. 52 VwVG und Art. 60 Abs. 1 ATSG; vgl. auch Art. 50 Abs.</w:t>
      </w:r>
    </w:p>
    <w:p>
      <w:r>
        <w:rPr>
          <w:b/>
        </w:rPr>
        <w:t>E. 2.1.1</w:t>
      </w:r>
    </w:p>
    <w:p>
      <w:r>
        <w:t>Die Beschwerdeführerin ist kosovarische Staatsangehörige mit Wohnsitz im Kosovo. Nach dem Zerfall der Föderativen Volksrepublik Ju- goslawien blieben zunächst die Bestimmungen des Abkommens vom 8. Juni 1962 zwischen der Schweizerischen Eidgenossenschaft und der Föderativen Volksrepublik Jugoslawien über Sozialversicherung (SR 0.831.109.818.1; im Folgenden: altes Abkommen) für alle Staatsangehöri- gen des ehemaligen Jugoslawiens anwendbar (BGE 126 V 198 E. 2B, 122 V 381 E. 1 mit Hinweis). Ab dem 1. April 2010 entfiel jedoch dessen Wei- terführung mit dem Kosovo. Gemäss dem Grundsatz, wonach in zeitlicher Hinsicht regelmässig diejenigen Rechtssätze massgebend sind, die bei der Erfüllung des zu Rechtsfolgen führenden Tatbestandes Geltung haben, bil- det für die Frage, ob das für Angehörige der heutigen Republik Kosovo per Ende März 2010 ausser Kraft gesetzte Sozialversicherungsabkommen zwischen der Schweizerischen Eidgenossenschaft und der Föderativen Volksrepublik Jugoslawien über Sozialversicherung vom 8. Juni 1962 (vgl. BGE 139 V 263) weiterhin zur Anwendung gelangt, die Entstehung des Rentenanspruchs und nicht der Zeitpunkt des Verfügungserlasses den massgebenden Anknüpfungspunkt (BGE 139 V 335 E. 6). Der Ehemann der Beschwerdeführerin ist am (…) April 1999 verstorben (vgl. Dok. 1). Da der Versicherungsfall "Hinterlassenenrente" somit noch unter Geltung des alten Abkommens eingetreten ist, war es in casu aufgrund des für laufende Renten geltenden Besitzstands (vgl. Art. 25 Abs. 2 des alten Abkommens) auch während des vertraglosen Zustands weiterhin anwendbar und der Ex- port der Hinterlassenenrenten in den Kosovo (grundsätzlich) zulässig.</w:t>
      </w:r>
    </w:p>
    <w:p>
      <w:r>
        <w:t>C-1489/2021 Seite 7</w:t>
      </w:r>
    </w:p>
    <w:p>
      <w:r>
        <w:rPr>
          <w:b/>
        </w:rPr>
        <w:t>E. 2.1.2</w:t>
      </w:r>
    </w:p>
    <w:p>
      <w:r>
        <w:t>Im vorliegenden Beschwerdeverfahren, in welchem der angefoch- tene Einspracheentscheid vom 1. Februar 2021 zu beurteilen ist, ist auch das neue, am 8. Juni 2018 abgeschlossene und am 1. September 2019 in Kraft getretene Abkommen zwischen der Schweizerischen Eidgenossen- schaft und der Republik Kosovo über soziale Sicherheit (SR 0.831.109.475.1; im Folgenden: neues Abkommen) anwendbar. Es be- gründet allerdings keine Leistungsansprüche für den Zeitraum vor seinem Inkrafttreten (vgl. Art. 35 Abs. 1 des neuen Abkommens). Nach Art. 4 die- ses Abkommens sind die Staatsangehörigen der Vertragsstaaten sowie deren Familienangehörige und Hinterlassene in ihren Rechten und Pflich- ten aus den Rechtsvorschriften des anderen Vertragsstaats den Staatsan- gehörigen dieses Vertragsstaats beziehungsweise deren Familienangehö- rigen und Hinterlassenen gleichgestellt, soweit das Abkommen nichts an- deres bestimmt. Da vorliegend keine abweichenden Bestimmungen zur Anwendung gelangen, bestimmt sich der Anspruch der Beschwerdeführe- rin auf Leistungen der schweizerischen Alters- und Hinterlassenenversi- cherung aufgrund der schweizerischen Rechtsvorschriften. Das soeben Dargelegte galt auch bereits unter Geltung des alten Abkommens (vgl. Art. 1, 2 und 4 des alten Abkommens sowie Ziffern 2 und 3 des dazugehö- rigen Schlussprotokolls).</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 sätze massgebend, die bei der Erfüllung des zu Rechtsfolgen führenden Tatbestandes Geltung hatten (BGE 130 V 329 E. 2.3; BGE 130 V 1 E. 3.2). Die Frage, ob die SAK die Waisenrente der Beschwerdeführerin zu Recht eingestellt hat, beurteilt sich somit grundsätzlich nach den im Zeitpunkt des Einspracheentscheids vom 1. Februar 2021 gültigen Bestimmungen des AHVG und der AHVV.</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C-1489/2021 Seite 8</w:t>
      </w:r>
    </w:p>
    <w:p>
      <w:r>
        <w:rPr>
          <w:b/>
        </w:rPr>
        <w:t>E. 2.5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w:t>
      </w:r>
    </w:p>
    <w:p>
      <w:r>
        <w:rPr>
          <w:b/>
        </w:rPr>
        <w:t>E. 2.6</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w:t>
      </w:r>
    </w:p>
    <w:p>
      <w:r>
        <w:rPr>
          <w:b/>
        </w:rPr>
        <w:t>E. 2.7</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w:t>
      </w:r>
    </w:p>
    <w:p>
      <w:r>
        <w:rPr>
          <w:b/>
        </w:rPr>
        <w:t>E. 3</w:t>
      </w:r>
    </w:p>
    <w:p>
      <w:r>
        <w:t>Streitig und vom Bundesverwaltungsgericht zu prüfen ist, ob die Vorinstanz die Ausrichtung der Waisenrente zu Recht per 30. Juni 2019 eingestellt hat.</w:t>
      </w:r>
    </w:p>
    <w:p>
      <w:r>
        <w:rPr>
          <w:b/>
        </w:rPr>
        <w:t>E. 3.1</w:t>
      </w:r>
    </w:p>
    <w:p>
      <w:r>
        <w:t>Gemäss Art. 25 AHVG haben Kinder, deren Vater oder Mutter gestor- ben ist, Anspruch auf eine Waisenrente (Abs. 1, erster Satz). Der Anspruch auf die Waisenrente entsteht am ersten Tag des dem Tode des Vaters oder der Mutter folgenden Monats. Er erlischt mit der Vollendung des 18. Alters- jahres oder mit dem Tod der Waise (Abs. 4). Für Kinder, die noch in Aus- bildung sind, dauert der Rentenanspruch bis zu deren Abschluss, längs- tens aber bis zum vollendeten 25. Altersjahr. Der Bundesrat kann festle- gen, was als Ausbildung gilt (Abs. 5).</w:t>
      </w:r>
    </w:p>
    <w:p>
      <w:r>
        <w:t>C-1489/2021 Seite 9</w:t>
      </w:r>
    </w:p>
    <w:p>
      <w:r>
        <w:rPr>
          <w:b/>
        </w:rPr>
        <w:t>E. 3.2</w:t>
      </w:r>
    </w:p>
    <w:p>
      <w:r>
        <w:t>Die vom Gesetzgeber genannte Ausbildung zielt darauf ab, die berufli- che Ausbildung zu fördern (vgl. zuletzt: BGE 139 V 122 E. 4.3) und den Bezüger einer Rente von zusätzlichen Beiträgen an die Ausbildung des ei- genen Kindes bis zu dessen Eintritt in eine Erwerbstätigkeit zu entlasten, damit es später einer Erwerbstätigkeit nachgehen kann, die es ihm ermög- licht, den eigenen Lebensunterhalt eigenständig zu verdienen. Das volljäh- rige Kind eines eine Altersrente beziehenden Elternteils soll dadurch, dass sein Vater oder seine Mutter kein Erwerbseinkommen mehr erzielt, in sei- nem beruflichen Weiterkommen nicht behindert sein.</w:t>
      </w:r>
    </w:p>
    <w:p>
      <w:r>
        <w:rPr>
          <w:b/>
        </w:rPr>
        <w:t>E. 3.3.1</w:t>
      </w:r>
    </w:p>
    <w:p>
      <w:r>
        <w:t>Der Bundesrat hat in Art. 49bis AHVV (in Kraft seit 1. Januar 2011) geregelt, was als Ausbildung gilt. Demnach ist ein Kind in Ausbildung, wenn es sich auf der Grundlage eines ordnungsgemässen, rechtlich oder zumin- dest faktisch anerkannten Bildungsganges systematisch und zeitlich über- wiegend entweder auf einen Berufsabschluss vorbereitet oder sich eine Allgemeinausbildung erwirbt, die Grundlage bildet für den Erwerb verschie- dener Berufe (Abs. 1). Als in Ausbildung gilt ein Kind auch, wenn es Brü- ckenangebote wahrnimmt wie Motivationssemester und Vorlehren sowie Au-pair- und Sprachaufenthalte, sofern sie einen Anteil Schulunterricht ent- halten (Abs. 2). Nicht als in Ausbildung gilt ein Kind, wenn es ein durch- schnittliches monatliches Erwerbseinkommen erzielt, das höher ist als die maximale volle Altersrente der AHV (Abs. 3).</w:t>
      </w:r>
    </w:p>
    <w:p>
      <w:r>
        <w:rPr>
          <w:b/>
        </w:rPr>
        <w:t>E. 3.3.2</w:t>
      </w:r>
    </w:p>
    <w:p>
      <w:r>
        <w:t>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 den Zeiten, sofern die Ausbildung unmittelbar danach fortgesetzt wird: a. übliche unterrichtsfreie Zeiten und Ferien von längstens 4 Monaten; b. Militär- oder Zivildienst von längstens 5 Monaten; c. Gesundheits- oder schwangerschaftsbedingte Unterbrüche von längstens 12 Monaten (Abs. 3).</w:t>
      </w:r>
    </w:p>
    <w:p>
      <w:r>
        <w:rPr>
          <w:b/>
        </w:rPr>
        <w:t>E. 3.4</w:t>
      </w:r>
    </w:p>
    <w:p>
      <w:r>
        <w:t>Gemäss bundesgerichtlicher Rechtsprechung kann für die nähere Be- stimmung des Begriffes Ausbildung sowie deren Unterbrechung und Been- digung auf die Gerichts- und Verwaltungspraxis, namentlich auf die Wei- sungen des BSV, abgestellt werden (BGE 138 V 286 E. 4.2.2 S. 289; 142 V 442 E. 3.1 S. 443). Das Bundesamt für Sozialversicherungen (BSV) hat in seiner Wegleitung über die Renten (RWL) in der Eidgenössischen</w:t>
      </w:r>
    </w:p>
    <w:p>
      <w:r>
        <w:t>C-1489/2021 Seite 10 Alters-, Hinterlassenen- und Invalidenversicherung (gültig ab 1. Januar 2003, Stand: 1. Januar 2021; publiziert auf der Website des Bundesamtes für Sozialversicherungen [BSV] &lt;http://www.bsv.admin.ch &gt; Publikationen &amp; Service &gt; Gesetze und Verordnungen &gt; Weisungen, Kreisschreiben etc. &gt; Vollzug Sozialversicherungen &gt; AHV &gt; Grundlagen AHV &gt; Weisungen Renten, zuletzt besucht am 14. April 2023) zum Begriff der Ausbildung fest- gehalten, dass sie mindestens vier Wochen dauern und systematisch auf ein Bildungsziel ausgerichtet sein muss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 bildung beinhalten. Die Ausbildung muss auf einem strukturierten Bildungs- gang beruhen, der rechtlich oder zumindest faktisch anerkannt ist. Keine Rolle spielt es, ob es eine erstmalige Ausbildung, eine Zusatz- oder Zweitausbildung ist (Rz. 3358). Die systematische Vorbereitung erfordert, dass das Kind die Ausbildung mit dem objektiv zumutbaren Einsatz be- treibt, um sie innert nützlicher Frist abschliessen zu können. Während der Ausbildung muss sich das Kind zeitlich überwiegend dem Ausbildungsziel widmen. Dies gilt nur dann als erfüllt, wenn der gesamte Ausbildungsauf- wand (Lehre im Betrieb, Schulunterricht, Vorlesungen, Kurse, Vor- und Nachbereitung, Prüfungsvorbereitung, Selbststudium, Verfassen einer Dip- 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 len. Wer wöchentlich nur eine geringe Anzahl Kurslektionen besucht (z.B.</w:t>
      </w:r>
    </w:p>
    <w:p>
      <w:r>
        <w:rPr>
          <w:b/>
        </w:rPr>
        <w:t>E. 3.5</w:t>
      </w:r>
    </w:p>
    <w:p>
      <w:r>
        <w:t>Gemäss Lehre und Rechtsprechung kann der gesetzliche Begriff der Ausbildung verstanden werden im Sinne der beruflichen Ausbildung; ande- rerseits geht es um Ausbildung aber auch dort, wo entweder zum vornhe- rein kein spezieller Berufsabschluss beabsichtigt und nur die Ausübung des betreffenden Berufes angestrebt wird oder wo es sich um eine Ausbil- dung handelt, die vorerst nicht einem speziellen Beruf dient. Unter allen</w:t>
      </w:r>
    </w:p>
    <w:p>
      <w:r>
        <w:t>C-1489/2021 Seite 11 Umständen ist eine systematische Vorbereitung auf eines der genannten Ziele hin erforderlich, und zwar auf der Grundlage eines ordnungsgemäs- sen, rechtlich oder zumindest faktisch anerkannten (üblichen) Lehrganges. In allen Fällen muss sich sodann die strittige Vorkehr in dem von der Recht- 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 dung den Willen voraus, einem im Voraus festgelegten Programm zu fol- gen, und die Absicht, dieses zu Ende zu führen (vgl. UELI KIESER, Alters- und Hinterlassenenversicherung, Rechtsprechung des Bundesgerichts zum Sozialversicherungsrecht, 4. Aufl. 2020, Art. 25 Rz. 9 mit Hinweisen; statt vieler: Urteile des BVGer C-3062/2010 vom 13. September 2010 E. 4.3, C-1549/2015 vom 27. April 2017 E. 3.5, C-3229/2012 vom 16. Mai 2014 E. 2.4 und C-3062/2010 vom 13. September 2010 E. 4.3).</w:t>
      </w:r>
    </w:p>
    <w:p>
      <w:r>
        <w:rPr>
          <w:b/>
        </w:rPr>
        <w:t>E. 3.6</w:t>
      </w:r>
    </w:p>
    <w:p>
      <w:r>
        <w:t>Eine bloss formelle Einschreibung für ein Studium genügt nicht, um ei- nen Anspruch auf eine Waisenrente zu begründen beziehungsweise auf- recht zu erhalten. Benötigt die auszubildende Person eine längere Ausbil- dung als der Durchschnitt oder muss sie einen Misserfolg hinnehmen, so kann daraus nicht von vornherein auf einen ungenügenden Einsatz ge- schlossen werden. Diese Umstände stellen jedoch Hinweise auf den Ein- satz der betroffenen Person dar, welche es im Rahmen einer Gesamtwür- digung zusammen mit den weiteren tatsächlichen Verhältnissen des kon- kreten Falles zu berücksichtigen gilt (Urteil des BGer 9C_647/2014 vom 15. Januar 2015 E. 4.2 mit weiteren Hinweisen). In subjektiver Hinsicht wird verlangt, dass die Ausbildung mit dem objektiv zumutbaren Einsatz betrie- ben wird, indem die betreffende Person sich systematisch auf das Ausbil- dungsziel vorbereitet. Dies bedeutet indes nicht, dass der Lehrgang in der Minimalzeit zu absolvieren ist (GABRIELA RIEMER-KAFKA, Bildung, Ausbil- dung und Weiterbildung aus sozialversicherungsrechtlicher Sicht, in: SZS 3/2004, S. 208 ff., insbesondere S. 212).</w:t>
      </w:r>
    </w:p>
    <w:p>
      <w:r>
        <w:rPr>
          <w:b/>
        </w:rPr>
        <w:t>E. 4</w:t>
      </w:r>
    </w:p>
    <w:p>
      <w:r>
        <w:t>Unbestritten ist vorliegend, dass Anspruch auf eine weitere Ausrichtung der Waisenrente besteht, sofern der Sohn der Beschwerdeführerin, B._______, sich im massgebenden Zeitpunkt noch in Ausbildung befand, das 25. Altersjahr noch nicht vollendet hatte und er sich dieser Ausbildung mit dem notwendigen und ihm objektiv zumutbaren Einsatz und Willen wid- mete.</w:t>
      </w:r>
    </w:p>
    <w:p>
      <w:r>
        <w:t>C-1489/2021 Seite 12</w:t>
      </w:r>
    </w:p>
    <w:p>
      <w:r>
        <w:rPr>
          <w:b/>
        </w:rPr>
        <w:t>E. 4.1</w:t>
      </w:r>
    </w:p>
    <w:p>
      <w:r>
        <w:t>Die SAK bestreitet dabei nicht, dass das ordnungsgemässe Studium in «Zollwesen und Spedition» an der Hochschule H._______ in (…) geeignet ist, eine anspruchsbegründende Ausbildung darzustellen; ebenso wenig bestreitet sie, dass der Sohn der Beschwerdeführerin ab dem akademi- schen Jahr 2014/2015 bis zum akademischen Jahr 2019/2020 dieses Stu- dium besucht hat. Die SAK macht jedoch geltend, dass angesichts des Studienverlaufs, gemäss welchem der Sohn der Beschwerdeführerin be- reits zum dritten Mal im 3. Studienjahr eingeschrieben sei, nicht davon aus- gegangen werden könne, dass der Sohn der Beschwerdeführerin seine Ausbildung mit dem objektiv zumutbaren Einsatz betrieben habe, um diese innert nützlicher Frist zum Abschluss zu bringen.</w:t>
      </w:r>
    </w:p>
    <w:p>
      <w:r>
        <w:rPr>
          <w:b/>
        </w:rPr>
        <w:t>E. 4.2</w:t>
      </w:r>
    </w:p>
    <w:p>
      <w:r>
        <w:t>Demgegenüber bestreitet die Beschwerdeführerin nicht, dass ihr Sohn im Schuljahr 2019/2020 immer noch das 3. Studienjahr besucht hat. Aller- dings macht sie geltend, dass er im Schuljahr 2020/2021 immer noch im- matrikuliert gewesen sei und dabei gemäss Fakultätsverordnung das Recht habe, die Semester innert der maximal zulässigen Studiendauer von</w:t>
      </w:r>
    </w:p>
    <w:p>
      <w:r>
        <w:rPr>
          <w:b/>
        </w:rPr>
        <w:t>E. 5.1</w:t>
      </w:r>
    </w:p>
    <w:p>
      <w:r>
        <w:t>Aus den Akten ergibt sich, dass sich der Sohn der Beschwerdeführerin im Oktober 2015 an der Hochschule H._______ in (...) zunächst als Student für das Studienprogramm «Versicherungen» eingeschrieben hat (vgl. Studienbestätigung vom 16. Oktober 2015 samt deutscher Übersetzung [Dok. 62]); er scheint jedoch noch im selben Semester die Studienrichtung gewechselt zu haben, da in der Studienbestätigung vom 9. März 2016 betreffend das Frühjahrssemester ausgeführt wurde, dass der Sohn für das Schuljahr 2015/2016 im zweiten Semester für das Studienprogramm «Zollwesen und Spedition» registriert gewesen sei. Gemäss dieser Bescheinigung vom 9. März 2016 dauere das Studium «Zollwesen und Spedition» gemäss Regelstudiendauer drei Jahre bzw. sechs Semester (vgl. die entsprechende Bestätigung samt deutscher Übersetzung [Dok. 75]).</w:t>
      </w:r>
    </w:p>
    <w:p>
      <w:r>
        <w:rPr>
          <w:b/>
        </w:rPr>
        <w:t>E. 5.2</w:t>
      </w:r>
    </w:p>
    <w:p>
      <w:r>
        <w:t>Bezüglich des weiteren Verlaufs der Ausbildung des Sohnes B._______ sind den Akten insgesamt die folgenden Studienbescheinigungen zu entnehmen: - Studienbescheinigung vom 16. Oktober 2015 betreffend das akademische Jahr 2015/2016, erstes Studienjahr im Studienprogramm «Versicherungen» (Dok. 62); - Studienbescheinigung vom 9. März 2016 betreffend das akademische Jahr 2015/2016, erstes Studienjahr (2. Semester) im Studienprogramm «Zollwesen und Spedition» (Dok. 75); - Studienbescheinigung vom 1. September 2016 betreffend das akademische Jahr 2016/2017, zweites Studienjahr (3. Semester) im Studienprogramm «Zollwesen und Spedition» (Dok. 79); - Studienbescheinigung vom 14. Oktober 2017 betreffend das akademische Jahr 2016/2017, zweites Studienjahr (4. Semester) im Studienprogramm «Zollwesen und Spedition» (Dok. 107 S. 3); - Studienbescheinigung vom 19. Oktober 2017 betreffend das akademische Jahr 2017/2018, drittes Studienjahr (5. Semester) im Studienprogramm «Zollwesen und Spedition» (Dok. 96 und Dok. 107 S. 4); - Studienbescheinigung vom 15. März 2018 betreffend das akademische Jahr 2017/2018, drittes Studienjahr (6. Semester) im Studienprogramm «Zollwesen und Spedition» (Dok. 107 S. 2 und S. 5); - Studienbescheinigung vom 11. und 12. Oktober 2018 betreffend das akademische Jahr 2017/2018, drittes Studienjahr (6. Semester) im Studienprogramm «Zollwesen und Spedition» (Dok. 123 S. 3 f.); - Studienbescheinigung vom 11. April 2019 betreffend das akademische Jahr 2018/2019, drittes Studienjahr (6. Semester) im Studienprogramm «Zollwesen und Spedition» (Dok. 127); - Studienbescheinigung vom 15. Januar 2020, welche offensichtlich nicht eine aktuelle Immatrikulation bescheinigte, da mit dieser die Einschreibung im Studienprogramm «Zollwesen und Spedition» für das dritte Studienjahr respektive für das 6. Semester im akademischen Jahr 2017/2018 bescheinigt wurde (Dok. 133; vgl. auch das Schreiben der Vorinstanz an die Beschwerdeführerin vom 10. Februar 2020, in dem auf diesen Umstand hingewiesen wurde [Dok. 135]); - Studienbescheinigung vom 11. September 2020, welche erneut eine Einschreibung im dritten Studienjahr (6. Semester) im Studienprogramm «Zollwesen und Spedition» bescheinigte, indessen nicht das aktuelle akademische Jahr erwähnte (Dok. 139).</w:t>
      </w:r>
    </w:p>
    <w:p>
      <w:r>
        <w:rPr>
          <w:b/>
        </w:rPr>
        <w:t>E. 5.3</w:t>
      </w:r>
    </w:p>
    <w:p>
      <w:r>
        <w:t>Den soeben aufgelisteten Studienbescheinigungen kann entnommen werden, dass die ordentliche Dauer des Studiums des Sohnes der Beschwerdeführerin grundsätzlich drei Jahre respektive sechs Semester betragen hätte. Die ersten beiden Schuljahre wie auch das fünfte Semester scheint der Sohn ohne Hindernisse absolviert zu haben. Wie sich jedoch aus den Akten ergibt, kam es im sechsten und letzten Semester zu Abweichungen vom Studienplan, sodass ein Abschluss in der ordentlichen Dauer nicht mehr möglich war bzw. die ordentliche Studiendauer nicht eingehalten werden konnte.</w:t>
      </w:r>
    </w:p>
    <w:p>
      <w:r>
        <w:rPr>
          <w:b/>
        </w:rPr>
        <w:t>E. 5.4</w:t>
      </w:r>
    </w:p>
    <w:p>
      <w:r>
        <w:t>Gemäss den Angaben in der Bescheinigung vom 11. April 2019 (Dok. 127) und im mit Einsprache vom 5. November 2020 eingereichten Vertragsanhang vom 11. September 2020 (Dok. 143 S. 1 und 3), ist der Sohn der Beschwerdeführerin gestützt auf die Hochschulstatuten verpflichtet, das Studium innerhalb der doppelten Periode der regelmässigen Studienzeit abzuschliessen. Für die Beurteilung des Anspruchs auf eine schweizerische Waisenrente ist jedoch entgegen der von der Beschwerdeführerin vertretenen Ansicht nicht die formell maximal zulässige Studiendauer massgebend, sondern ob die Ausbildung mit dem objektiv zumutbaren Einsatz betrieben und letztlich innert nützlicher Frist erfolgreich abgeschlossen wird (vgl. E. 3.4 f. hiervor; Urteile des BVGer C-3062/2010 vom 13. September 2010 E. 5.3; C-7916/2010 vom 27. September 2012 E. 4.5). Zwar ist eine Abweichung vom Regelverlauf grundsätzlich durch die Beschwerdeführerin substanziiert zu begründen, was diese vorliegend gerade weder mit Einsprache vom 5. November 2020 noch mit Beschwerde vom 23. März 2023 getan hat. Sie hat mit Einsprache vom 5. November 2020 lediglich ausgeführt, ihr Sohn habe das Studium trotz seiner Versuche nicht in der schnellstmöglichen Zeitdauer abschliessen können; was die Gründe hierfür sind, hat sie nicht ausgeführt. Und in ihrer Beschwerde vom 23. März 2023 hat sie lediglich geltend gemacht, dass es gemäss Fakultäts-Verordnung zulässig sei, das Studium innert 6 Jahren zu absolvieren und innert dieser Zeit auch die Semester zu wiederholen.</w:t>
      </w:r>
    </w:p>
    <w:p>
      <w:r>
        <w:rPr>
          <w:b/>
        </w:rPr>
        <w:t>E. 5.5</w:t>
      </w:r>
    </w:p>
    <w:p>
      <w:r>
        <w:t>Allerdings gilt es auch zu beachten, dass die Vorinstanz durch die substanziierte Begründungspflicht nicht von ihrer Pflicht zur Ermittlung des rechtserheblichen Sachverhalts entbunden wird (vgl. zur Abklärungspflicht Art. 43 Abs. 1 ATSG sowie Urteile des BVGer C-1549/2015 vom 24. April 2017 E. 4.3.1 mit Hinweisen, C-1296/2014 vom 7. Mai 2015 E.4.4.3 in fine und C-7040/2013 vom 2. März 2015 E. 6.3.4). Überdies rechtfertigt selbst eine überdurchschnittliche Studiendauer für sich allein noch nicht den Schluss auf eine fehlende Zielstrebigkeit der Studierenden. Vielmehr sind sämtliche Umstände des Einzelfalles zu berücksichtigen (vgl. Urteil des BGer 9C_647/2014 vom 15. Januar 2015 E. 4.2 in fine mit weiteren Hinweisen), wie insbesondere die bisher besuchten Vorlesungen beziehungsweise Übungen, idealerweise bestätigt durch entsprechende Testate, die bisher absolvierten Prüfungen und deren Erfolg oder Misserfolg sowie der insgesamt betriebene Studienaufwand. Zu diesem Zweck gilt es insbesondere einen Vergleich zwischen den ordentlichen Prüfungen und den effektiv bereits absolvierten Prüfungen zu ziehen; sofern im Rahmen der Ausbildung auch ECTS-Leistungspunkte erworben werden müssen, ist ebenso ein Vergleich zwischen den mittlerweile erworbenen und den gesamthaft zu erwerbenden Leistungspunkten angezeigt (vgl. Urteile des BVGer C-1296/2014 vom 7. Mai 2015 E. 4.4, C-3733/2015 vom 22. März 2017 E.4.8.1 m.w.H.).</w:t>
      </w:r>
    </w:p>
    <w:p>
      <w:r>
        <w:rPr>
          <w:b/>
        </w:rPr>
        <w:t>E. 5.6</w:t>
      </w:r>
    </w:p>
    <w:p>
      <w:r>
        <w:t>Diesbezüglich lassen sich den vorliegenden Akten gar keine Erkenntnisse entnehmen. Aufgrund der Akten, namentlich der aufgelisteten Studienbescheinigungen (E. 5.2 hiervor) ist einzig erstellt, dass der Sohn der Beschwerdeführerin die ersten fünf Semester offenbar ohne Unterbrüche absolviert hat, sich jedoch seit dem Frühjahr 2018 bis zum Herbst 2020, das heisst, während zweieinhalb Jahren im sechsten Semester des Studiums «Zollwesen und Spedition» befunden hat. Diese Zeitspanne ist zwar tatsächlich ein Indiz dafür, dass der Sohn der Beschwerdeführerin seine Ausbildung im Studienprogramm Zollwesen und Spedition nicht mit dem ihm objektiv zumutbaren Einsatz betrieben haben könnte, um es innert nützlicher Frist erfolgreich abzuschliessen (vgl. E. 3.4 f. hiervor). Wie bereits ausgeführt (E. 5.4 hiervor), hat die Beschwerdeführerin in diesem Zusammenhang nicht dargelegt, was die Gründe für die Abweichung vom Studienregelverlauf waren. Dieses Indiz reicht für sich allein jedoch nicht, um mit dem erforderlichen Beweisgrad der überwiegenden Wahrscheinlichkeit darauf zu schliessen, dass der Sohn das Studium mit dem ihm objektiv zumutbaren Einsatz betrieben hat, um es innert nützlicher Frist erfolgreich abzuschliessen. Denn aus den Akten geht überhaupt nicht hervor, was die Gründe für die mehrfache Einschreibung im sechsten Semester gewesen sind.</w:t>
      </w:r>
    </w:p>
    <w:p>
      <w:r>
        <w:rPr>
          <w:b/>
        </w:rPr>
        <w:t>E. 5.6.1</w:t>
      </w:r>
    </w:p>
    <w:p>
      <w:r>
        <w:t>Trotz des geltenden Untersuchungsgrundsatzes und trotz des Umstands, dass es sich bei der Beschwerdeführerin um eine mit der schweizerischen Gesetzgebung nicht vertraute sowie der deutschen Sprache nicht hinreichend mächtige Person handelt, hat die Vorinstanz überhaupt nicht abgeklärt, was die Gründe für die Abweichung sein könnten. Sie hat lediglich aufgrund der eingereichten Bescheinigungen darauf geschlossen, dass der Sohn das Studium nicht mit dem ihm objektiv zumutbaren Einsatz betrieben habe, um es innert nützlicher Frist erfolgreich abzuschliessen. Zwar hat sie in diesem Zusammenhang im angefochtenen Einspracheentscheid vom 1. Februar 2021 zur Begründung unter anderem auch ausgeführt, es stehe nicht einmal fest, ob der Sohn die zwei noch ausstehenden Prüfungen bis Sommer 2021 bestanden haben werde. Aufgrund der vorliegenden Akten ist jedoch nicht nachvollziehbar, gestützt auf welche Unterlagen die Vorinstanz davon ausgegangen ist, dass B._______ damals noch zwei ausstehende Prüfungen zu bestehen hatte. Weder den obgenannten Bescheinigungen (E. 5.2 hiervor) noch der Einsprache vom 5. November 2020 noch dem mit der Einsprache eingereichten Vertragsanhang vom 11. September 2020 lassen sich bezüglich allenfalls nicht bestandener Prüfungen irgendwelche Informationen entnehmen. Die Vorinstanz scheint dies ebenfalls bemerkt zu haben, fehlt doch dieses Argument im Rahmen ihrer Vernehmlassung vom 30. Juli 2021, deren Begründung ansonsten im Wesentlichen mit derjenigen des angefochtenen Einspracheentscheids übereinstimmt (vgl. Dok. 150 und BVGer-act. 7). Ob der Sohn der Beschwerdeführerin tatsächlich irgendwelche Prüfungen nicht bestanden hat oder ob allenfalls andere, entschuldbare Gründe, welche einem der in Art. 49ter Abs. 3 AHVV genannten Tatbestände entsprechen, für die mehrfache Einschreibung im sechsten Semester vorgelegen haben, geht aus den Akten gerade nicht hervor.</w:t>
      </w:r>
    </w:p>
    <w:p>
      <w:r>
        <w:rPr>
          <w:b/>
        </w:rPr>
        <w:t>E. 5.6.2</w:t>
      </w:r>
    </w:p>
    <w:p>
      <w:r>
        <w:t>Die von der Beschwerdeführerin eingereichten Bescheinigungen der Hochschule H._______ geben keinen Aufschluss darüber, wie gross der Aufwand ihres Sohnes für die Ausbildung effektiv ist. Die Vorinstanz hat einerseits hinsichtlich der Ausbildung keine konkrete Abklärungen über den effektiv betriebenen Studienaufwand getätigt. Es bleibt folglich gänzlich ungeklärt, wie viel Zeit das Studium pro Woche in Anspruch nimmt und was die effektiven Voraussetzungen sind, um die einzelnen Semester zu absolvieren bzw. die Ausbildung als Ganzes erfolgreich abzuschliessen. Insbesondere ist nicht klar, ob der Sohn der Beschwerdeführerin am Ende der Semester jeweils Prüfungen zu absolvieren hatte, und falls ja, ob er diese auch effektiv absolviert sowie gegebenenfalls auch bestanden hat. Erkenntnisse hätten z.B. Testat-Bücher, Studien- und Prüfungspläne, gegebenenfalls auch Prüfungsresultate bzw. Notenblätter, ECTS-Leistungspunkte etc. liefern können. Andererseits hat sie auch nicht abgeklärt, ob allenfalls auch besondere Gründe gemäss Art. 49ter Abs. 3 AHVV vorgelegen haben könnten, die ebenfalls ein Abweichen von der Regelstudiendauer erklären könnten.</w:t>
      </w:r>
    </w:p>
    <w:p>
      <w:r>
        <w:rPr>
          <w:b/>
        </w:rPr>
        <w:t>E. 5.7</w:t>
      </w:r>
    </w:p>
    <w:p>
      <w:r>
        <w:t>Nachdem die mehrfache Einschreibung im sechsten Semester für sich allein nicht den Schluss auf eine ungenügend ernsthafte oder nicht zielorientierte Verfolgung des Studiums zulässt, hätte die Vorinstanz weitere Untersuchungen vornehmen können und müssen, wenn sie gestützt auf das genannte Indiz ein schuldhaftes Verhalten des Sohnes der Beschwerdeführerin mit entsprechenden Schlussfolgerungen in Bezug auf die zielorientierte Verfolgung der Ausbildung hätte ableiten wollen (vgl. zur Abklärungspflicht E. 2.4 und E. 5.5 hievor mit Hinweisen). Dies gilt umso mehr, als es sich bei der anwaltlich nicht vertretenen Beschwerdeführerin um eine rechtsunkundige Person handelt, die überdies der deutschen Sprache nicht hinreichend mächtig ist.</w:t>
      </w:r>
    </w:p>
    <w:p>
      <w:r>
        <w:rPr>
          <w:b/>
        </w:rPr>
        <w:t>E. 6</w:t>
      </w:r>
    </w:p>
    <w:p>
      <w:r>
        <w:t>Zusammenfassend ist festzuhalten, dass die Vorinstanz vorliegend den rechtserheblichen Sachverhalt unvollständig erhoben hat, indem sie die Frage der systematischen Verfolgung des Studiums nicht umfassend und</w:t>
      </w:r>
    </w:p>
    <w:p>
      <w:r>
        <w:t>C-1489/2021 Seite 17 damit nicht rechtsgenüglich abgeklärt hat. Die derzeit vorliegenden Akten lassen keine verlässliche Beurteilung der Frage zu, ob der Sohn der Be- schwerdeführerin seine Ausbildung systematisch und zielorientiert verfolgt hat. Aufgrund der vorliegenden Akten ist der Nachweis, dass der Sohn der Beschwerdeführerin sein Studium nicht systematisch und mit dem ihm zu- mutbaren Einsatz verfolgen würde, jedenfalls nicht mit überwiegender Wahrscheinlichkeit erbracht. Von weiteren Beweiserhebungen sind zusätz- liche Erkenntnisse zu erwarten, weshalb die Vorinstanz in Anwendung von Art. 61 Abs. 1 VwVG anzuweisen ist, von der Versicherten wie auch gege- benenfalls von der Ausbildungsstätte ihres Sohnes zusätzlich zu den Stu- dienbescheinigungen weitere Beweismittel (wie z.B. Studienpläne, aktuelle Studienbescheinigungen, Belege über absolvierte Prüfungen und deren Ergebnisse, gegebenenfalls Bestätigungen betreffend die inzwischen er- worbenen ECTS-Punkte etc.) einzufordern und anschliessend auf dieser Grundlage über den Waisenrentenanspruch ab 1. Juli 2019 neu zu verfü- gen. Dabei ist abschliessend darauf hinzuweisen, dass – sollte aufgrund der ergänzenden Abklärungen ein Waisenrentenanspruch über den 30. Juni 2019 hinaus festgestellt werden – der Sohn der Beschwerdefüh- rerin am (…) August 2021 das 25. Altersjahr vollendet hat und daher der Waisenrentenanspruch spätestens mit Ablauf des Monats August 2021 er- loschen ist (vgl. Art. 25 Abs. 5 AHVG und RWL Rz. 3332).</w:t>
      </w:r>
    </w:p>
    <w:p>
      <w:r>
        <w:rPr>
          <w:b/>
        </w:rPr>
        <w:t>E. 7</w:t>
      </w:r>
    </w:p>
    <w:p>
      <w:r>
        <w:t>Zu befinden bleibt noch über die Verfahrenskosten und eine allfällige Par- teientschädigung.</w:t>
      </w:r>
    </w:p>
    <w:p>
      <w:r>
        <w:rPr>
          <w:b/>
        </w:rPr>
        <w:t>E. 7.1</w:t>
      </w:r>
    </w:p>
    <w:p>
      <w:r>
        <w:t>Das Beschwerdeverfahren ist bei Streitigkeiten über Leistungen für die Parteien kostenlos (vgl. Art. 85bis Abs. 2 AHVG erster Satz), so dass keine Verfahrenskosten zu erheben sind.</w:t>
      </w:r>
    </w:p>
    <w:p>
      <w:r>
        <w:rPr>
          <w:b/>
        </w:rPr>
        <w:t>E. 7.2</w:t>
      </w:r>
    </w:p>
    <w:p>
      <w:r>
        <w:t>Die Beschwerdeinstanz kann der ganz oder teilweise obsiegenden Partei von Amtes wegen oder auf Begehren eine Entschädigung für die ihr erwachsenen notwendigen und verhältnismässig hohen Kosten zuspre- chen (Art. 64 Abs. 1 VwVG, Art. 7 Abs. 1, 2 und 4 des Reglements vom 21. Februar 2008 über die Kosten und Entschädigungen vor dem Bundesver- waltungsgericht [VGKE], SR 173.320.2). Eine Rückweisung gilt praxisge- mäss als Obsiegen der beschwerdeführenden Partei (vgl. statt vieler: Urteil des BVGer C-6046/2014 vom 13. Dezember 2016 E. 13. 1 mit Hinweis auf BGE 137 V 57 E. 2.1). Da die obsiegende Beschwerdeführerin nicht an- waltlich vertreten ist und ihr aufgrund der Aktenlage auch keine notwendi- gen, verhältnismässig hohen Kosten entstanden sind, wird ihr keine</w:t>
      </w:r>
    </w:p>
    <w:p>
      <w:r>
        <w:t>C-1489/2021 Seite 18 Parteientschädigung zugesprochen. Als Bundesbehörde hat die unterlie- gende Vorinstanz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