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C-1487/2013 vom 19. Mai 2014</w:t>
      </w:r>
    </w:p>
    <w:p>
      <w:r>
        <w:t>Bundesverwaltungsgericht, 2014-05-19, FR</w:t>
      </w:r>
    </w:p>
    <w:p>
      <w:r>
        <w:rPr>
          <w:b/>
        </w:rPr>
        <w:t xml:space="preserve">Quelle: </w:t>
      </w:r>
      <w:r>
        <w:t>https://mcp.opencaselaw.ch/entscheid/bvger_C-1487_2013</w:t>
      </w:r>
    </w:p>
    <w:p>
      <w:r>
        <w:t>FR: TAF C-1487/2013 du 19 mai 2014</w:t>
      </w:r>
    </w:p>
    <w:p>
      <w:r>
        <w:t>IT: TAF C-1487/2013 del 19 maggio 2014</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LTAF. En particulier, les décisions en matière d'interdiction d'entrée en Suisse prononcées par l'ODM - lequel constitue une unité de l'administration fédérale telle que définie à l'art. 33 let. d LTAF - sont susceptibles de recours au Tribunal administratif fédéral (art. 1 al. 2 LTAF).</w:t>
      </w:r>
    </w:p>
    <w:p>
      <w:r>
        <w:rPr>
          <w:b/>
        </w:rPr>
        <w:t>E. 1.2</w:t>
      </w:r>
    </w:p>
    <w:p>
      <w:r>
        <w:t>A moins que la LTAF n'en dispose autrement, la procédure devant le Tribunal administratif fédéral est régie par la PA (art. 37 LTAF).</w:t>
      </w:r>
    </w:p>
    <w:p>
      <w:r>
        <w:rPr>
          <w:b/>
        </w:rPr>
        <w:t>E. 1.3</w:t>
      </w:r>
    </w:p>
    <w:p>
      <w:r>
        <w:t>Le recourant a qualité pour recourir (art. 48 al. 1 PA). Présenté dans la forme et dans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2012/21 consid. 5).</w:t>
      </w:r>
    </w:p>
    <w:p>
      <w:r>
        <w:rPr>
          <w:b/>
        </w:rPr>
        <w:t>E. 3</w:t>
      </w:r>
    </w:p>
    <w:p>
      <w:r>
        <w:t>Le recourant a allégué, sur un plan formel, que la décision de l'ODM consacrait une violation du droit d'être entendu, au motif qu'il n'aurait pas eu l'occasion de se déterminer avant le prononcé de la décision attaquée et que la décision querellée n'était pas suffisamment motivée.</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Praxiskommentar VwVG, 2008, art. 29 p. 610 n° 28ss et p. 640 n° 106ss, réf. cit.).</w:t>
      </w:r>
    </w:p>
    <w:p>
      <w:r>
        <w:rPr>
          <w:b/>
        </w:rPr>
        <w:t>E. 3.1.2</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 ; cf. également Thierry Tanquerel, Manuel de droit administratif, 2011, p. 509, n°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3.1.3</w:t>
      </w:r>
    </w:p>
    <w:p>
      <w:r>
        <w:t>La jurisprudence a notamment déduit du droit d'être entendu, l'obligation pour l'autorité de motiver sa décision afin que l'intéressé puisse la comprendre ainsi que l'attaquer ultérieurement s'il y a lieu, et que l'autorité de recours puisse exercer son contrôle. La motivation d'une décision est suffisante lorsque l'intéressé est en mesure d'en apprécier la portée et de la déférer à une instance supérieure en pleine connaissance de cause. L'objet et la précision des indications que l'autorité doit fournir dépend de la nature de la décision à rendre et des circonstances particulières du cas. Néanmoins, en règle générale, il suffit que l'autorité mentionne au moins brièvement les motifs qui l'ont guidée, sans qu'elle soit tenue de répondre à tous les arguments présentés (cf. ATF 134 I 83 consid. 4.1 et la jurisprudence citée ; cf. également ATAF 2009/35 consid. 6.4.1 et les références citées). Elle peut passer sous silence ce qui, sans arbitraire, lui paraît à l'évidence non établi ou sans pertinence (cf. arrêt du TAF C-661/2011 du 6 juin 2012, consid. 4.2.1 et la jurisprudence citée).</w:t>
      </w:r>
    </w:p>
    <w:p>
      <w:r>
        <w:rPr>
          <w:b/>
        </w:rPr>
        <w:t>E. 3.1.4</w:t>
      </w:r>
    </w:p>
    <w:p>
      <w:r>
        <w:t>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 ainsi que ATAF 2007/30 consid. 5.5.1 ; 2007/27 consid. 10.1 ; cf. également Patrick Sutter, in : Auer / Müller / Schindler, Kommentar zum Bundesgesetz über das Verwaltungsverfahren [VwVG], 2008, ad art. 29 PA, n° 16, et Moser et al., Prozessieren vor dem Bundesverwaltungsgericht, 2013, p. 193 n° 3.110).</w:t>
      </w:r>
    </w:p>
    <w:p>
      <w:r>
        <w:rPr>
          <w:b/>
        </w:rPr>
        <w:t>E. 3.1.5</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134 I 140 consid. 5.5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Moser et al., op. cit., p. 193, n° 3.112 et Kölz et al., Verwaltungsverfahren und Verwaltungsrechtspflege des Bundes, 3ème édition, 2013, n° 548-552 et les références citées).</w:t>
      </w:r>
    </w:p>
    <w:p>
      <w:r>
        <w:rPr>
          <w:b/>
        </w:rPr>
        <w:t>E. 3.2</w:t>
      </w:r>
    </w:p>
    <w:p>
      <w:r>
        <w:t>En l'espèce, le recourant a considéré que la décision du 17 novembre 2012 n'était pas suffisamment motivée. S'il est vrai que la décision querellée est motivée fort sommairement, il n'en demeure pas moins que, sur la base des indications y figurant, A._______ était en mesure de saisir le fondement essentiel que l'ODM avait retenu à l'appui de sa décision, à savoir que l'interdiction d'entrée a été prononcée en raison de son comportement délictuel ayant donné lieu à l'ordonnance pénale du 16 novembre 2011. Il est manifeste que le prénommé a pu rédiger un mémoire de recours circonstancié, lequel a été par la suite complété, contestant les motifs - atteinte à la sécurité et à l'ordre publics - sur la base desquels la décision querellée a été prononcée. Il s'ensuit que le recourant a été parfaitement apte à discerner les raisons ayant amené l'autorité inférieure à prendre la décision objet de la présente procédure. En conséquence, le grief tiré d'une violation du droit d'être entendu doit être écarté en ce qui concerne le défaut de motivation.</w:t>
      </w:r>
    </w:p>
    <w:p>
      <w:r>
        <w:rPr>
          <w:b/>
        </w:rPr>
        <w:t>E. 3.3.1</w:t>
      </w:r>
    </w:p>
    <w:p>
      <w:r>
        <w:t>Quant au droit d'être entendu stricto sensu, le Tribunal constate qu'il ressort des pièces du dossier que le recourant a été interpellé par la police genevoise et que, lors de son audition du 15 novembre 2011, il a été expressément rendu attentif au fait que l'autorité compétente examinerait l'opportunité de prononcer une mesure d'éloignement à son endroit, au vu des faits qui lui étaient reprochés. Il s'est alors borné à relever qu'il n'avait rien à ajouter aux déclarations qu'il venait de faire. En tout état de cause, à supposer même que le grief tiré de la violation du droit d'être entendu ne puisse pas d'emblée être écarté,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consid. 3.1.5 supra). En l'espèce,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le recourant a eu la faculté de présenter tous ses moyens au cours de la présente procédure.</w:t>
      </w:r>
    </w:p>
    <w:p>
      <w:r>
        <w:rPr>
          <w:b/>
        </w:rPr>
        <w:t>E. 3.3.2</w:t>
      </w:r>
    </w:p>
    <w:p>
      <w:r>
        <w:t>Dans sa réplique du 25 novembre 2013, le recourant s'est référé à un arrêt du Tribunal de céans (cf. arrêt du TAF C-3873/2011 du 5 mars 2013), en exposant que le Tribunal avait retenu, dans cette affaire, qui présentait, selon lui, un état de fait similaire à la présente cause, que la violation du droit d'être entendu ne pouvait être guérie et que la cause devait être renvoyée à l'autorité inférieure. Cela étant, les affaires se distinguent sur deux aspects importants. Premièrement, dans l'affaire à laquelle se réfère le recourant, la police avait rendu attentif le recourant au fait que l'autorité compétente examinerait l'opportunité de prononcer une mesure d'éloignement à son endroit sur la base des actes délictueux, à savoir une rixe, objet de l'audition en cours, alors que dans sa décision l'ODM avait pris en considération des actes et infractions supplémentaires, sur lesquels le prévenu n'avait pas pu se déterminer ; et deuxièmement, un délai de plus de cinq ans s'était écoulé entre le moment où la gendarmerie genevoise avait averti le recourant que l'ODM examinerait l'éventualité de prononcer une mesure d'éloignement à son endroit et le prononcé de l'interdiction d'entrée (cf. consid. 3.2.3 de l'arrêt précité).</w:t>
      </w:r>
    </w:p>
    <w:p>
      <w:r>
        <w:rPr>
          <w:b/>
        </w:rPr>
        <w:t>E. 3.3.3</w:t>
      </w:r>
    </w:p>
    <w:p>
      <w:r>
        <w:t>En considération de ce qui précède, le grief tiré de la violation du droit d'être entendu doit également être écarté sous cet angle.</w:t>
      </w:r>
    </w:p>
    <w:p>
      <w:r>
        <w:rPr>
          <w:b/>
        </w:rPr>
        <w:t>E. 4.1</w:t>
      </w:r>
    </w:p>
    <w:p>
      <w:r>
        <w:t>L'interdiction d'entrée, qui permet d'empêcher l'entrée ou le retour en Suisse d'un étranger dont le séjour y est indésirable, est réglée à l'art. 67 LEtr. Une nouvelle teneur de cette disposition légale, résultant de l'Arrêté fédéral portant approbation et mise en oeuvre de l'échange de notes entre la Suisse et la Communauté européenne (CE) concernant la reprise de la directive CE sur le retour (directive 2008/115/CE) (Développement de l'acquis de Schengen), est entrée en vigueur le 1er janvier 2011 (RO 2010 5925). L'interdiction d'entrée ayant été rendue en novembre 2012 sur la base de faits ultérieurs à l'entrée en vigueur de la nouvelle loi, le nouveau droit est applicable. Les cas dans lesquels l'ODM dispose, comme auparavant, d'une marge d'appréciation pour prononcer une interdiction d'entrée figurent désormais à l'art. 67 al. 2 LEtr et correspondent à l'ancien art. 67 al. 1 LEtr (RO 2007 5437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w:t>
      </w:r>
    </w:p>
    <w:p>
      <w:r>
        <w:rPr>
          <w:b/>
        </w:rPr>
        <w:t>E. 4.2</w:t>
      </w:r>
    </w:p>
    <w:p>
      <w:r>
        <w:t>Aux termes de l'art. 67 al. 2 LEtr, l'ODM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4.3</w:t>
      </w:r>
    </w:p>
    <w:p>
      <w:r>
        <w:t>Lorsqu'une décision d'interdiction d'entrée au sens de l'art. 67 LEtr est prononcée à l'endroit d'une personne non-ressortissante de l'un des Etats parties aux Accords d'association à Schengen (lesquels sont énumérés à l'annexe 1 ch. 1 de la LEtr), cette personne - conformément aux art. 94 par. 1 et 96 de la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C-6801/2010 du 1er avril 2011 consid. 4 et C-1667/2010 du 21 mars 2011 consid. 3.3).</w:t>
      </w:r>
    </w:p>
    <w:p>
      <w:r>
        <w:rPr>
          <w:b/>
        </w:rPr>
        <w:t>E. 4.4</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Cela signifie qu'il faut pouvoir établir un pronostic défavorable à ce sujet. Un tel pronostic ne devrait en principe pas être possible lorsque les motifs qui ont conduit l'intéressé à mal agir ont disparu (MARC SPESCHA in : Spescha / Thür / Zünd / Bolzli, Migrations-recht, 2012, ad art. 67 n° 3).</w:t>
      </w:r>
    </w:p>
    <w:p>
      <w:r>
        <w:rPr>
          <w:b/>
        </w:rPr>
        <w:t>E. 4.5</w:t>
      </w:r>
    </w:p>
    <w:p>
      <w:r>
        <w:t>Selon le Message précité (cf. p. 3568), l'interdiction d'entrée permet d'empêcher l'entrée ou le retour en Suisse d'un étranger dont le séjour y est indésirable. Elle n'est pas considérée comme une peine sanctionnant un comportement déterminé, mais une mesure ayant pour but de prévenir une atteinte à la sécurité et à l'ordre publics.</w:t>
      </w:r>
    </w:p>
    <w:p>
      <w:r>
        <w:rPr>
          <w:b/>
        </w:rPr>
        <w:t>E. 4.6</w:t>
      </w:r>
    </w:p>
    <w:p>
      <w:r>
        <w:t>L'autorité compétente examine selon sa libre appréciation si une interdiction d'entrée doit être prononcée en application de l'art. 67 al. 2 LEtr. Elle doit donc procéder à une pondération méticuleuse de l'ensemble des intérêts en présence et respecter le principe de la proportionnalité (cf. Zünd / Arquint Hill, Beendigung der Anwesenheit, Entfernung und Fernhaltung, in : Uebersax / Rudin / Hugi Yar / Geiser [édit.], Ausländerrecht, 2ème édition, 2009, n° 8.80).</w:t>
      </w:r>
    </w:p>
    <w:p>
      <w:r>
        <w:rPr>
          <w:b/>
        </w:rPr>
        <w:t>E. 5.1</w:t>
      </w:r>
    </w:p>
    <w:p>
      <w:r>
        <w:t>En l'occurrence, l'ODM a prononcé à l'encontre de A._______ une interdiction d'entrée d'une durée de trois ans au motif que l'intéressé avait été reconnu coupable de vol au sens de l'art. 139 al. 1 du Code pénal suisse du 21 décembre 1937 (CP, RS 311.0) pour un préjudice de 10'000 francs et condamné à une peine de 90 jours-amende à 30 francs par ordonnance pénale du 16 novembre 2011 du Ministère public genevois. Etant donné la gravité de l'infraction et la mise en danger de la sécurité et de l'ordre publics qui en a découlé, l'ODM a estimé qu'une mesure d'éloignement au sens de l'art. 67 LEtr s'imposait (cf. décision querellée).</w:t>
      </w:r>
    </w:p>
    <w:p>
      <w:r>
        <w:rPr>
          <w:b/>
        </w:rPr>
        <w:t>E. 5.2</w:t>
      </w:r>
    </w:p>
    <w:p>
      <w:r>
        <w:t>Dans l'ordonnance pénale précitée, le Ministère public genevois a souligné que le recourant n'avait pour motivation que le "seul appât du gain, sans considération aucune pour le patrimoine d'autrui". Pour cette raison déjà, les faits reprochés au prénommé présentant un caractère de gravité certain, la mesure d'éloignement prise à son encontre, objet de la présente procédure, apparaît comme étant justifiée dans son principe.</w:t>
      </w:r>
    </w:p>
    <w:p>
      <w:r>
        <w:rPr>
          <w:b/>
        </w:rPr>
        <w:t>E. 5.3</w:t>
      </w:r>
    </w:p>
    <w:p>
      <w:r>
        <w:t>A l'examen du dossier, il appert qu'elle l'est d'autant plus que, bien que l'ordonnance pénale du 16 novembre 2011 ne le mentionne pas, A._______ a été appréhendé alors qu'il s'apprêtait à commettre un deuxième vol (également de 10'000 francs) au préjudice de la même victime, démontrant son absence de remords quant à son premier acte délictueux et confirmant son appât du gain facile, son absence de considération pour le patrimoine d'autrui et son mépris des personnes, de surcroît d'une personne déjà abusée. Le recourant a lui-même déclaré lors de son audition consécutive à son arrestation s'être "rendu à nouveau chez ce monsieur afin de lui voler le reste de la somme, soit CHF 10'000.-" (cf. procès-verbal d'audition du 15 novembre 2011 de la police cantonale genevoise, p. 2). Finalement, le prénommé reconnaît également être "venu à Genève uniquement pour commettre le vol" (cf. procès-verbal cité., p. 5), à savoir entrer sur le territoire suisse uniquement à des fins délictuelles.</w:t>
      </w:r>
    </w:p>
    <w:p>
      <w:r>
        <w:rPr>
          <w:b/>
        </w:rPr>
        <w:t>E. 5.4</w:t>
      </w:r>
    </w:p>
    <w:p>
      <w:r>
        <w:t>Contrairement à l'allégation du recourant, contenue dans sa réplique du 25 novembre 2013, l'ODM ne s'est pas basé sur des circonstances plus graves pour motiver sa décision. En effet, si l'autorité de première instance parle de "ce type d'escroquerie" dans sa réponse du 26 septembre 2013, elle se réfère à l'ensemble des circonstances ayant entouré le vol commis par le recourant et ne désigne nullement une qualification juridique. La décision attaquée ne parle, à cet égard, expressément que de vol. Ainsi, c'est à bon droit que l'ODM a considéré, dans sa décision du 17 novembre 2012, que A._______ avait attenté à la sécurité et à l'ordre publics au sens de l'art. 67 al. 2 let. a LEtr et qu'il a fondé la décision querellée sur ces motifs.</w:t>
      </w:r>
    </w:p>
    <w:p>
      <w:r>
        <w:rPr>
          <w:b/>
        </w:rPr>
        <w:t>E. 6</w:t>
      </w:r>
    </w:p>
    <w:p>
      <w:r>
        <w:t>Il convient encore d'examiner si la mesure d'éloignement prise par l'ODM satisfait aux principe de proportionnalité et d'égalité de traitement.</w:t>
      </w:r>
    </w:p>
    <w:p>
      <w:r>
        <w:rPr>
          <w:b/>
        </w:rPr>
        <w:t>E. 6.1</w:t>
      </w:r>
    </w:p>
    <w:p>
      <w:r>
        <w:t>Lorsque l'autorité administrative prononce une interdiction d'entrée, elle doit en effet respecter les principes susmentionnés et s'interdire tout arbitraire (cf. à ce sujet, à titre d'exemples, Thierry Tanquerel, op.cit.,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TAF C-1547/2011 du 7 janvier 2013 consid. 7.1 et les arrêts cités).</w:t>
      </w:r>
    </w:p>
    <w:p>
      <w:r>
        <w:rPr>
          <w:b/>
        </w:rPr>
        <w:t>E. 6.2</w:t>
      </w:r>
    </w:p>
    <w:p>
      <w:r>
        <w:t>L'interdiction d'entrée prononcée à l'endroit de A._______ est une mesure administrative de contrôle qui tend à le tenir éloigné de la Suisse où il a contrevenu aux prescriptions légales en commettant une infraction revêtant une certaine gravité (cf. ci-dessus, consid. 5.2). Il en va de l'intérêt de l'Etat à voir respecter l'ordre établi et la législation en vigueur (cf. arrêt du TAF C-4717/2012 du 5 avril 2013 consid. 6.2.1 et les arrêts cités). En l'espèce, les faits reprochés à A._______ sont clairement établis. Certes, quand bien même le prénommé n'a commis qu'une seule infraction, puisqu'il a été appréhendé alors qu'il s'apprêtait à commettre un deuxième vol, il doit cependant être relevé que la démarche de l'intéressé consistant à entrer en Suisse uniquement pour y exercer une activité délictuelle, dénote une volonté évidente de ne pas respecter l'ordre juridique suisse. Le recourant n'a invoqué aucun intérêt privé à revenir en Suisse susceptible de l'emporter sur l'intérêt public à son éloignement. S'il a fait valoir la conclusion d'un contrat de travail avec une entreprise suisse pour se justifier d'un intérêt privé à entrer sur le territoire suisse, force est de constater qu'il a annoncé au Tribunal, par courrier du 18 septembre 2013, avoir renoncé à cet emploi et ne plus avoir de liens contractuels avec un employeur suisse. De plus, il n'a avancé aucun autre motif. Dans ces conditions, l'intérêt privé du prénommé à pouvoir se déplacer librement en Suisse ne saurait être considéré comme prépondérant par rapport à l'intérêt public à son éloignement tel qu'exposé ci-dessus. Doivent en effet être rappelés l'appât du gain facile, l'absence de considération pour le patrimoine d'autrui et le mépris de la victime en état de faiblesse, qui animaient le recourant lors de ses virées helvétiques de novembre 2011.</w:t>
      </w:r>
    </w:p>
    <w:p>
      <w:r>
        <w:rPr>
          <w:b/>
        </w:rPr>
        <w:t>E. 6.3</w:t>
      </w:r>
    </w:p>
    <w:p>
      <w:r>
        <w:t>Tenant compte de l'ensemble des éléments objectifs et subjectifs de la cause, le Tribunal juge que l'interdiction d'entrée en Suisse prise par l'autorité inférieure le 17 novembre 2012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7</w:t>
      </w:r>
    </w:p>
    <w:p>
      <w:r>
        <w:t>Il sied de constater qu'en raison du titre de séjour français de l'intéressé, c'est à juste titre que l'ODM n'a pas assorti la décision d'interdiction d'entrée du 17 novembre 2012 d'une publication dans le SIS, ce qui aurait eu pour conséquence d'étendre les effets de la mesure prononcée à l'ensemble du territoire des Etats Schengen.</w:t>
      </w:r>
    </w:p>
    <w:p>
      <w:r>
        <w:rPr>
          <w:b/>
        </w:rPr>
        <w:t>E. 8.1</w:t>
      </w:r>
    </w:p>
    <w:p>
      <w:r>
        <w:t>En définitive, le Tribunal est amené à conclure que la décision querellée est conforme au droit (cf. art. 49 PA). Le recours est en conséquence rejeté.</w:t>
      </w:r>
    </w:p>
    <w:p>
      <w:r>
        <w:rPr>
          <w:b/>
        </w:rPr>
        <w:t>E. 8.2</w:t>
      </w:r>
    </w:p>
    <w:p>
      <w:r>
        <w:t>Par décision incidente du 14 janvier 2014, le Tribunal a mis le recourant au bénéfice de l'assistance judiciaire et désigné son mandataire avocat d'office pour la procédure de recours. Il y a donc lieu de dispenser l'intéressé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Le recourant a l'obligation de rembourser ce montant s'il revient à meilleure fortune, conformément à l'art. 65 al. 4 PA. Tenant compte de l'ensemble des circonstances du cas, de l'importance de l'affaire, du degré de difficulté de cette dernière et de l'ampleur du travail que Maître Manuel Bolivar a accompli en sa qualité de mandataire, le Tribunal estime, au regard des art. 8 et ss FITAF, que le versement d'une indemnité à titre d'honoraires s'élevant à 1'200 francs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