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C-1476/2017 vom 27. September 2018</w:t>
      </w:r>
    </w:p>
    <w:p>
      <w:r>
        <w:t>Bundesverwaltungsgericht, 2018-09-27, DE</w:t>
      </w:r>
    </w:p>
    <w:p>
      <w:r>
        <w:rPr>
          <w:b/>
        </w:rPr>
        <w:t xml:space="preserve">Quelle: </w:t>
      </w:r>
      <w:r>
        <w:t>https://mcp.opencaselaw.ch/entscheid/bvger_C-1476_2017</w:t>
      </w:r>
    </w:p>
    <w:p>
      <w:r>
        <w:t>FR: TAF C-1476/2017 du 27 septembre 2018</w:t>
      </w:r>
    </w:p>
    <w:p>
      <w:r>
        <w:t>IT: TAF C-1476/2017 del 27 settembre 2018</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Verfügungen vom 27. Februar 2017 ist die Beschwerdeführerin berührt und hat ein schutzwürdiges Interesse an deren Aufhebung oder Änderung (vgl. Art. 59 ATSG). Nachdem auch der Kostenvorschuss von Fr. 1'000.- fristgerecht geleistet worden ist (B-act. 4), ergibt sich zusammenfassend, dass sämtliche Prozessvoraussetzungen erfüllt sind. Auf die Beschwerde ist daher einzutreten.</w:t>
      </w:r>
    </w:p>
    <w:p>
      <w:r>
        <w:rPr>
          <w:b/>
        </w:rPr>
        <w:t>E. 1.4.1</w:t>
      </w:r>
    </w:p>
    <w:p>
      <w:r>
        <w:t>Anfechtungsobjekt und damit Begrenzung des Streitgegenstandes des vorliegenden Beschwerdeverfahrens (vgl. BGE 131 V 164 E. 2.1) bilden die Verfügungen vom 27. Februar 2017, mit welchen die Vorinstanz von der Beschwerdeführerin die Rückvergütung erbrachter Leistungen für die Zwillinge B._______ und C._______ in der Höhe von Fr. 343'397.65 und Fr. 227'917.85 fordert. Streitig und zu prüfen ist, ob die Vorinstanz Anspruch auf Rückvergütung dieser geforderten Summen hat. In diesem Zusammenhang ist unter den Parteien weiter umstritten, ob ab dem Zeitpunkt der Erlangung des Entsandten-Status gemäss Art. 2 Abs. 5 KVV ein Gesuch um Befreiung von der OKP hätte gestellt werden müssen.</w:t>
      </w:r>
    </w:p>
    <w:p>
      <w:r>
        <w:rPr>
          <w:b/>
        </w:rPr>
        <w:t>E. 1.4.2</w:t>
      </w:r>
    </w:p>
    <w:p>
      <w:r>
        <w:t>Unbestritten unter den Parteien ist, dass der Vater der Zwillinge B._______ und C._______ ab dem 1. Januar 2013 den Entsandten-Status innegehabt hatte und das Abkommen gemäss Art. 2 Abs. 1 Bst. d in Bezug auf die Schweiz auf das KVG anwendbar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Gemäss Art. 2 Abs. 1 des Abkommens findet dieses in Bezug auf die Schweiz auf die folgenden Bundesgesetze Anwendung: Bundesgesetz vom 20. Dezember 1946 über die Alters- und Hinterlassenenversicherung (Bst. a.), Bundesgesetz vom 19. Juni 1959 über die Invalidenversicherung (Bst. b.), Bundesgesetz vom 20. März 1981 über die Unfallversicherung (Bst. c.), Bundesgesetz vom 18. März 1994 über die Krankenversicherung (Bst. d.). Laut Art. 2 Abs. 2 findet das Abkommen in Bezug auf Indien Anwendung auf die Rechtsvorschriften über die Alters- und Hinterlassenenrenten (Bst. a.), die Renten für dauernde Vollinvalidität (Bst. b.) sowie die Krankenversicherung (Bst. c.).</w:t>
      </w:r>
    </w:p>
    <w:p>
      <w:r>
        <w:rPr>
          <w:b/>
        </w:rPr>
        <w:t>E. 2.2</w:t>
      </w:r>
    </w:p>
    <w:p>
      <w:r>
        <w:t>Gemäss Art. 5 des Abkommens untersteht eine unselbständig erwerbstätige Person, die den Rechtsvorschriften eines Vertragsstaates unterstellt ist und vorübergehend in das Gebiet des anderen Vertragsstaats entsandt wird, um dort eine Arbeit für denselben Arbeitgeber auszuführen, in Bezug auf diese Tätigkeit während den ersten 72 Monaten der Entsendung nur den Rechtsvorschriften des ersten Vertragsstaates, wie wenn diese Tätigkeit in dessen Gebiet ausgeübt würde. Bleibt eine Person nach Art. 5 bis 8 weiterhin den Rechtsvorschriften des einen Vertragsstaates unterstellt, während sie eine Erwerbstätigkeit im Gebiet des anderen Vertragsstaats ausübt, so gilt dies auch für ihren Ehegatten und ihre Kinder, welche sich mit der genannten Person im Gebiet des zweiten Vertragsstaates aufhalten, sofern sie nicht selbst im Gebiet dieses Vertragsstaates eine Erwerbstätigkeit ausüben (Art. 11 Abs. 1 des Abkommens). Gelten nach Abs. 1 für den Ehegatten und die Kinder die schweizerischen Rechtsvorschriften, so sind sie in der Alters-, Hinterlassenen- und Invalidenversicherung versichert (Art. 11 Abs. 2 des Abkommens).</w:t>
      </w:r>
    </w:p>
    <w:p>
      <w:r>
        <w:rPr>
          <w:b/>
        </w:rPr>
        <w:t>E. 2.3</w:t>
      </w:r>
    </w:p>
    <w:p>
      <w:r>
        <w:t>Auf Gesuch hin von der Versicherungspflicht ausgenommen sind in die Schweiz entsandte Arbeitnehmer und Arbeitnehmerinnen, welche gestützt auf eine zwischenstaatliche Vereinbarung über soziale Sicherheit von der Beitragspflicht in der schweizerischen Alters-, Hinterlassenen- und Invalidenversicherung (AHV/IV) befreit sind, sowie die sie begleitenden Familienangehörigen im Sinne von Art. 3 Abs. 2, wenn der Arbeitgeber oder die Arbeitgeberin sich verpflichtet, dafür zu sorgen, dass während der gesamten Geltungsdauer der Befreiung für Behandlungen in der Schweiz mindestens die Leistungen nach KVG versichert sind. Diese Regelung gilt sinngemäss auch für andere Personen, die gestützt auf eine zwischenstaatliche Vereinbarung durch eine Ausnahmebewilligung während eines vorübergehenden Aufenthaltes in der Schweiz von der Beitragspflicht in der AHV/IV befreit sind. Die betreffende Person und der Arbeitgeber oder die Arbeitgeberin können die Befreiung oder einen Verzicht auf die Befreiung nicht widerrufen (Art. 2 Abs. 5 KVV).</w:t>
      </w:r>
    </w:p>
    <w:p>
      <w:r>
        <w:rPr>
          <w:b/>
        </w:rPr>
        <w:t>E. 3.1</w:t>
      </w:r>
    </w:p>
    <w:p>
      <w:r>
        <w:t>Betreffend die Vorbringen der Beschwerdeführerin zum Verhältnis von Völkerrecht und Bundesgesetzen resp. -verordnungen ist vorab festzuhalten, dass im Fall eines Normenkonflikts zwischen dem Völkerrecht und einer späteren Gesetzgebung die Rechtsprechung grundsätzlich vom Vorrang des Völkerrechts ausgeht; vorbehalten bleibt gemäss der "Schubert"-Praxis der Fall, dass der Gesetzgeber einen Konflikt mit dem Völkerrecht ausdrücklich in Kauf genommen hat. Die Rechtsprechung hat die Anwendung der "Schubert-Praxis" im Falle eines Widerspruchs zu Menschenrechtskonventionen verneint, die Frage in einem Einzelfall aber auch offengelassen. In einem jüngsten Entscheid zur Problematik hat das Bundesgericht den Vorrang des Völkerrechts bzw. die Bindung an dieses bestätigt: Besteht ein echter Normkonflikt zwischen Bundes- und Völkerrecht, so geht grundsätzlich die völkerrechtliche Verpflichtung der Schweiz vor; dies gilt selbst für Abkommen, die nicht Menschen- oder Grundrechte zum Gegenstand haben. Der dargelegte Vorrang besteht auch gegenüber späteren, d.h. nach der völkerrechtlichen Norm in Kraft getretenen Bundesgesetzen; die Lex-posterior-Regel kommt im Verhältnis zwischen Völker- und Landesrecht nicht zur Anwendung. Die Schweiz kann sich nicht auf ihr innerstaatliches Recht berufen, um die Nichterfüllung eines Vertrags zu rechtfertigen. Entsprechend bleibt eine dem Völkerrecht entgegenstehende Bundesgesetzgebung regelmässig unanwendbar (BGE 139 I 16 E. 5.1; vgl. hierzu auch BGE 142 II 35 E. 3.2).</w:t>
      </w:r>
    </w:p>
    <w:p>
      <w:r>
        <w:rPr>
          <w:b/>
        </w:rPr>
        <w:t>E. 3.2</w:t>
      </w:r>
    </w:p>
    <w:p>
      <w:r>
        <w:t>Der Vater der Zwillinge B._______ und C._______, D._______, war ab 1. Januar 2013 Entsandter im Sinne von Art. 5 des am 3. September 2009 abgeschlossenen, am 15. September 2010 von der Bundesversammlung genehmigten und durch Notenaustausch am 29. Januar 2011 in Kraft getretenen Abkommens mit Indien. Zufolge der vorstehend zusammengefasst wiedergegebenen bundesgerichtlichen Rechtsprechung geht Art. 5 des Abkommens dem seit 1. Januar 1997 in Kraft stehenden Art. 2 Abs. 5 KVV (eingefügt durch Ziff. I der V vom 25. Nov. 1996; AS 1996 3139) im Falle eines Normenkonflikts vor.</w:t>
      </w:r>
    </w:p>
    <w:p>
      <w:r>
        <w:rPr>
          <w:b/>
        </w:rPr>
        <w:t>E. 4.1</w:t>
      </w:r>
    </w:p>
    <w:p>
      <w:r>
        <w:t>Mit Blick auf den in vorstehender Erwägung 2.3 wiedergegeben Art. 2 Abs. 5 KVV fällt - im Gegensatz zu Art. 5 des Abkommens - auf, dass auf Gesuch hin nur diejenigen in die Schweiz entsandten Arbeitnehmer und Arbeitnehmerinnen von der Versicherungspflicht ausgenommen sind, bei denen sich der Arbeitgeber oder die Arbeitgeberin verpflichtet, dafür zu sorgen, dass während der gesamten Geltungsdauer der Befreiung für Behandlungen in der Schweiz mindestens die Leistungen nach KVG versichert sind.</w:t>
      </w:r>
    </w:p>
    <w:p>
      <w:r>
        <w:rPr>
          <w:b/>
        </w:rPr>
        <w:t>E. 4.2</w:t>
      </w:r>
    </w:p>
    <w:p>
      <w:r>
        <w:t>Bei Konsultierung der entsprechenden Botschaft über die Genehmigung des Abkommens wird deutlich, dass mit diesem Vertragswerk eine Entlastung für entsandte Arbeitnehmerinnen und Arbeitnehmer bezweckt wird. So wurde unter anderem Folgendes ausgeführt: "Ohne Abkommen sind indische Arbeitnehmerinnen und Arbeitnehmer, die vorübergehend von einem indischen Unternehmen zur Ausübung einer Erwerbstätigkeit in die Schweiz entsandt werden, in beiden Ländern sozialversicherungspflichtig. Im umgekehrten Fall entsteht auch bei Schweizer Arbeitnehmerinnen und Arbeitnehmern, die von einem Schweizer Arbeitgeber vorübergehend nach Indien geschickt werden und ihre Versicherung in der Schweiz fortführen, eine Doppelbelastung. Diese Doppelversicherung stellt für Unternehmen und Arbeitnehmerschaft ein nicht unbedeutendes Hindernis für den Austausch von Arbeitskräften zwischen den beiden Staaten dar. Mit dem Abschluss des Abkommens wird dieses Hindernis beseitigt. Die Arbeitnehmerinnen und Arbeitnehmer bleiben während der Dauer ihrer Entsendung vollumfänglich den Rechtsvorschriften des Entsendestaats unterstellt und werden von der Beitragspflicht des Staates, in welchem sie vorübergehend eine Erwerbstätigkeit ausüben, befreit. Es handelt sich um ein Abkommen, das den Bedürfnissen beider Staaten, insbesondere dem Bestreben nach wirtschaftlichem Austausch, angemessen Rechnung trägt" (BBl 2009 S. 7629). "Indische Arbeitnehmerinnen und Arbeitnehmer, die als Entsandte in der Schweiz arbeiten und Schweizer Arbeitnehmerinnen und Arbeitnehmer, die als Entsandte in Indien ihre Erwerbstätigkeit ausführen, sind in der indischen Kranken- und Unfallversicherung in der Regel nicht beitragspflichtig, weil ihr Einkommen den Betrag von monatlich INR 6500 übersteigt. Eine Doppelbelastung durch die Beitragspflicht in der obligatorischen Kranken- und Unfallversicherung entsteht somit für die schweizerischen Entsandten in Indien grundsätzlich nicht. Die indischen Entsandten in der Schweiz (mit einem INR 6500 übersteigenden Einkommen) profitieren insofern vom Abkommen, als dass sie nur die Beiträge an ihr freiwilliges staatliches oder privates Vorsorgesystem in Indien entrichten müssen und von der Beitragspflicht in der Schweiz befreit sind" (S. 7631 f.). "Auch in der Krankenversicherung und in der Unfallversicherung kann es beim vorübergehenden Einsatz von indischen Arbeitskräften in der Schweiz zu einer Doppelversicherung kommen. (...) Artikel 5 des Abkommens erlaubt es, solche Doppelbelastungen durch die Beitragspflicht im Entsende- und im Erwerbsstaat zu vermeiden. Nach dieser Bestimmung unterstehen Arbeitnehmerinnen und Arbeitnehmer, die vorübergehend zur Arbeitsleistung in das Gebiet der anderen Vertragspartei entsandt werden, während 72 Monaten weiterhin den Rechtsvorschriften der entsendenden Vertragspartei. Während der Dauer der Entsendung besteht generell keine Beitragspflicht in der Renten-, Unfall- und Krankenversicherung in dem Staat, in dem die vorübergehende Erwerbstätigkeit ausgeübt wird. So erfolgt auch kein Wechsel in das Sozialversicherungssystem des anderen Staats" (S. 7634). "Artikel 11 regelt die Rechtsstellung des Ehegatten und der Kinder einer Person, die vom einen Vertragsstaat in den andern entsandt wird. Die Familienmitglieder, die die Arbeitnehmerin oder den Arbeitnehmer begleiten, bleiben mit ihm bzw. ihr während der vorübergehenden Tätigkeit im Ausland den Rechtsvorschriften des Herkunftslands unterstellt, sofern sie im Ausland nicht selber eine Erwerbstätigkeit ausüben (S. 7635).</w:t>
      </w:r>
    </w:p>
    <w:p>
      <w:r>
        <w:rPr>
          <w:b/>
        </w:rPr>
        <w:t>E. 4.3</w:t>
      </w:r>
    </w:p>
    <w:p>
      <w:r>
        <w:t>Mit Blick auf diese Ausführungen resp. den Botschaftstext erhellt, dass betreffend die Beitragspflicht im Entsende- und im Erwerbsstaat Doppelbelastungen vermieden werden sollen und entsandte Arbeitnehmerinnen und Arbeitnehmer während 72 Monaten weiterhin den Rechtsvorschriften der entsendenden Vertragspartei - vorliegend somit Indien - unterstehen. Während der Dauer der Entsendung eines indischen Arbeitnehmers und seiner Familienangehörigen besteht somit keine Beitragspflicht im Sozialversicherungssystem, wo die vorübergehende Erwerbstätigkeit ausgeübt wird, und es erfolgt kein Wechsel in die Krankenversicherung der Schweiz. Unter diesen Umständen kann der Auffassung der Vorinstanz, wonach es Ziel des Abkommens sei, indische Entsandte durch die Unterstellung unter das Versicherungsobligatorium nach KVG besserzustellen als vor dem Inkrafttreten des Abkommens, nicht gefolgt werden.</w:t>
      </w:r>
    </w:p>
    <w:p>
      <w:r>
        <w:rPr>
          <w:b/>
        </w:rPr>
        <w:t>E. 4.4</w:t>
      </w:r>
    </w:p>
    <w:p>
      <w:r>
        <w:t>Nichts anderes ergibt sich auch aus dem Merkblatt des BSV "Soziale Sicherheit für Entsandte, Vertragsstaaten, ohne EU/EFTA", welches vorliegend eine dem Einzelfall angepasste und gerecht werdende Auslegung der anwendbaren gesetzlichen Bestimmungen zulässt (vgl. auch BGE 138 V 346 E. 6.2); dies analog zu den Verwaltungsweisungen (Urteil des BGer 8C_713/2010 vom 23. März 2011 E. 3, BGE 133 V 587 E. 6.1, BGE 133 V 257 E. 3.2 mit Hinweisen), die keine über Gesetz und Verordnung hinausgehenden Einschränkungen eines materiellen Rechtsanspruchs einführen dürfen (vgl. hierzu BGE 142 V 425 E. 7.2). In diesem Merkblatt wird unter anderem ausgeführt, für die betreffende Zeitdauer (Entsendung) seien die entsandten Arbeitnehmenden im Aufenthaltsland - somit der Schweiz - von denjenigen obligatorischen Versicherungen befreit, die vom Abkommen erfasst würden (S. 3). Einige Sozialversicherungsabkommen würden sich auch auf die Krankenversicherung beziehen. In diesem Fall schicke der Arbeitnehmer eine Kopie der Entsendungsbescheinigung der für die Krankenversicherung zuständigen Stelle des Wohnkantons, worauf er von der Versicherungspflicht befreit werde. Beziehe sich das betreffende Abkommen hingegen nicht auf die Krankenversicherung, müsse sich der Arbeitnehmer in der Schweiz versichern. Er könne aber bei der zuständigen Stelle des Wohnkantons ein Gesuch um Befreiung von der Krankenversicherungspflicht stellen, wenn sein Arbeitgeber sich verpflichte, dafür zu sorgen, dass der Entsandte während der gesamten Dauer seiner Tätigkeit in der Schweiz mindestens im Umfang der obligatorischen Krankenversicherung gedeckt sei.</w:t>
      </w:r>
    </w:p>
    <w:p>
      <w:r>
        <w:rPr>
          <w:b/>
        </w:rPr>
        <w:t>E. 4.5</w:t>
      </w:r>
    </w:p>
    <w:p>
      <w:r>
        <w:t>Aufgrund des Botschaftstextes und dieses Merkblatts wird klar, dass nur im Falle eines Abkommens, das sich nicht auch auf die Krankenversicherung bezieht, ein Gesuch um Befreiung von der Krankenversicherungspflicht gemäss Art. 2 Abs. 5 KVV gestellt werden und sich der Arbeitgeber - entsprechend Art. 2 Abs. 5 KVV - verpflichten muss, dafür zu sorgen, dass der oder die Entsandte während der gesamten Dauer seiner oder ihrer Tätigkeit in der Schweiz mindestens im Umfang der obligatorischen Krankenversicherung gedeckt ist. Unter diesen Umständen ist in Bezug auf Art. 2 Abs. 5 KVV und Art. 5 des Abkommens ein Normenkonflikt zu verneinen (vgl. E. 3. hiervor). Da sich das Abkommen zwischen der Schweiz und Indien gemäss Art. 2 Abs. 1 Bst. d auch auf die schweizerische OKP bezieht, hätte Herr D._______ eine Kopie der Entsendungsbescheinigung der zuständigen Stelle senden müssen, was er aufgrund der vorliegenden Akten unterlassen hat. Dies ist jedoch für den vorliegenden Fall nicht weiter relevant, denn eine solche Bescheinigung bestätigt lediglich, dass der Entsandte weiterhin dem Sozialversicherungsrecht des Entsendestaates unterliegt. Aufgrund des klaren und unmissverständlichen Wortlautes von Art. 5 des Abkommens war Herr D._______ in Bezug auf seine Tätigkeit in der Schweiz ab dem Zeitpunkt, in dem er den Entsandten-Status innegehabt hatte, während den ersten 72 Monaten der Entsendung nur den indischen Rechtsvorschriften unterstellt. Im Übrigen kann diesbezüglich auf die entsprechenden zutreffenden Ausführungen der Beschwerdeführerin in deren Replik vom 14. September 2017 verwiesen werden. Da nach dem Dargelegten ab dem Zeitpunkt des Entsandten-Status kein Versicherungsschutz nach KVG bestand, erübrigen sich Erwägungen zu den von der Vorinstanz im Zusammenhang mit Art. 27 KVG gemachten Ausführungen.</w:t>
      </w:r>
    </w:p>
    <w:p>
      <w:r>
        <w:rPr>
          <w:b/>
        </w:rPr>
        <w:t>E. 5</w:t>
      </w:r>
    </w:p>
    <w:p>
      <w:r>
        <w:t>Aufgrund der vorstehenden Erwägungen ergibt sich zusammenfassend, dass Herr D._______ und mit ihm die Zwillinge B._______ und C._______ ab dem 1. Januar 2013, das heisst ab dem Zeitpunkt, ab dem der Entsandten-Status nachgewiesen wurde, nicht mehr der OKP unterstellt waren. Demnach sind in Gutheissung der Beschwerde vom 14. März 2017 die Verfügungen vom 27. Februar 2017 aufzuheben.</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Infolge Gutheissung der Beschwerde sind der Beschwerdeführerin keine Verfahrenskosten aufzuerlegen. Der von ihr geleistete Kostenvorschuss in der Höhe von Fr. 1'000.- ist ihr nach Rechtskraft des vorliegenden Urteils zurückzuerstatten. Der Vorinstanz werden ebenfalls keine Verfahrenskosten auferlegt (Art. 63 Abs. 2 VwVG).</w:t>
      </w:r>
    </w:p>
    <w:p>
      <w:r>
        <w:rPr>
          <w:b/>
        </w:rPr>
        <w:t>E. 6.2</w:t>
      </w:r>
    </w:p>
    <w:p>
      <w:r>
        <w:t>Die unterliegende Vorinstanz als Bundesbehörde (BGE 127 V 205) und die obsiegende, nicht anwaltlich vertretene Beschwerdeführerin - da dieser keine unverhältnismässig hohen Kosten entstanden sind resp. sie keine solchen geltend gemacht hat - haben keinen Anspruch auf eine Parteientschädigung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