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C-1473/2011 vom 30. Juli 2012</w:t>
      </w:r>
    </w:p>
    <w:p>
      <w:r>
        <w:t>Bundesverwaltungsgericht, 2012-07-30, DE</w:t>
      </w:r>
    </w:p>
    <w:p>
      <w:r>
        <w:rPr>
          <w:b/>
        </w:rPr>
        <w:t xml:space="preserve">Quelle: </w:t>
      </w:r>
      <w:r>
        <w:t>https://mcp.opencaselaw.ch/entscheid/bvger_C-1473_2011</w:t>
      </w:r>
    </w:p>
    <w:p>
      <w:r>
        <w:t>FR: TAF C-1473/2011 du 30 juillet 2012</w:t>
      </w:r>
    </w:p>
    <w:p>
      <w:r>
        <w:t>IT: TAF C-1473/2011 del 30 luglio 2012</w:t>
      </w:r>
    </w:p>
    <w:p>
      <w:pPr>
        <w:pStyle w:val="Heading2"/>
      </w:pPr>
      <w:r>
        <w:t>Regeste</w:t>
      </w:r>
    </w:p>
    <w:p>
      <w:r>
        <w:t>Freiwillige Versicherung</w:t>
      </w:r>
    </w:p>
    <w:p>
      <w:pPr>
        <w:pStyle w:val="Heading2"/>
      </w:pPr>
      <w:r>
        <w:t>Erwägungen</w:t>
      </w:r>
    </w:p>
    <w:p>
      <w:r>
        <w:rPr>
          <w:b/>
        </w:rPr>
        <w:t>E. 2</w:t>
      </w:r>
    </w:p>
    <w:p>
      <w:r>
        <w:t>Vorliegend ist zu prüfen, ob die SAK die Beschwerdeführerin zu Recht aus der freiwilligen Versicherung ausgeschlossen hat. In zeitlicher Hinsicht sind grundsätzlich diejenigen Rechtssätze massgebend, die bei der Erfüllung des zu Rechtsfolgen führenden Tat­bestandes Geltung hatten (vgl. BGE 130 V 329 E. 2.3). Die Beurtei­lung des am 14. Januar 2011 erfolgten Ausschlusses richtet sich demzufolge nach Art. 2 Abs. 1 AHVG in der seit 1. Juni 2001 gel­tenden sowie Art. 13 Abs. 1 und 3 der Verordnung vom 26. Mai 1961 über die freiwillige Alters-, Hinterlassenen- und Invalidenver­sicherung (VFV, SR 831.111) in der seit 1. Januar 2008 und Art. 13 Abs. 2 VFV in der seit 1. Januar 2001 gülti­gen Fassung.</w:t>
      </w:r>
    </w:p>
    <w:p>
      <w:r>
        <w:rPr>
          <w:b/>
        </w:rPr>
        <w:t>E. 2.1</w:t>
      </w:r>
    </w:p>
    <w:p>
      <w:r>
        <w:t>Art. 2 Abs. 1 AHVG bestimmt, dass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können, falls sie unmittelbar vorher während mindestens fünf aufeinanderfol­genden Jahren obligatorisch versichert waren. Schweizer Bürger, die in einem Mitgliedstaat der Europäischen Gemeinschaft leben und bei Inkrafttreten dieses Gesetzes der freiwilligen Versicherung angehören, können ihr während höchstens sechs aufeinander folgenden Jahren ab dem Zeitpunkt des Inkrafttretens dieses Gesetzes (1. April 2001) weiterhin angeschlossen bleiben. Diejenigen Personen, die das 50. Altersjahr bei Inkrafttreten dieses Gesetzes bereits vollendet haben, können die Versicherung bis zum Eintritt des ordentlichen Rentenalters weiterführen (Abs. 1 der Schlussbestimmungen der Änderung des AHVG vom 23. Juni 2000; AS 2000 2677, BBl 1999 4983). Gemäss Art. 2 Abs. 3 AHVG werden Versicherte, welche die nöti­gen Auskünfte nicht erteilen oder ihre Beiträge nicht fristgerecht be­zahlen, aus der freiwilligen Versicherung ausgeschlossen. Der Bundesrat erlässt ergänzende Vorschriften über die freiwillige Versicherung; er bestimmt insbesondere die Frist und die Modalitäten des Beitritts, des Rücktritts und des Ausschlusses. Ferner regelt er die Festsetzung und Erhebung der Beiträge sowie die Gewährung von Leistungen (Art. 2 Abs. 6 AHVG).</w:t>
      </w:r>
    </w:p>
    <w:p>
      <w:r>
        <w:rPr>
          <w:b/>
        </w:rPr>
        <w:t>E. 2.2</w:t>
      </w:r>
    </w:p>
    <w:p>
      <w:r>
        <w:t>Die Versicherten werden aus der freiwilligen Versicherung ausgeschlossen, wenn sie die für das Beitragsjahr geschuldeten Beiträge bis zum 31. Dezember des folgenden Kalenderjahres nicht vollständig bezahlen (Art. 13 Abs. 1 lit. a VFV). Vor Ablauf der Frist stellt die Ausgleichskasse den Versicherten eine eingeschriebene Mahnung mit Androhung des Ausschlusses zu (Art. 13 Abs. 2 VFV). Werden fällige Beiträge nicht bezahlt, so ist innert zweier Monate schriftlich unter Ansetzung einer Nachfrist von 30 Tagen zu mahnen. Wird auch die Nachfrist nicht eingehalten, so hat die Ausgleichskasse eine letzte Zahlungsfrist anzusetzen und auf die Folgen der Nichtzahlung aufmerksam zu machen (Art. 17 Abs. 2 VFV).</w:t>
      </w:r>
    </w:p>
    <w:p>
      <w:r>
        <w:rPr>
          <w:b/>
        </w:rPr>
        <w:t>E. 2.3</w:t>
      </w:r>
    </w:p>
    <w:p>
      <w:r>
        <w:t>Nach der bundesgerichtlichen Rechtsprechung stellt der Aus­schluss aus der freiwilligen Versiche­rung einen äusserst schwerwie­genden Eingriff in die Rechtsstellung des Betroffenen dar. Der vom Ausschluss bedrohte Versicherte muss daher genau wissen, wie er den Ausschluss abwenden kann. Aus diesem Grund wurde in Art. 13 Abs. 2 VFV festgelegt, dass eine Mahnung vor Ablauf der in Art. 13 Abs. 1 VFV vorgesehenen Frist ergehen muss (vgl. BGE 117 V 103 E. 2c, bestätigt mit Urteil des Bundesgerichts H 224/04vom 28. April 2005 E. 4.3).</w:t>
      </w:r>
    </w:p>
    <w:p>
      <w:r>
        <w:rPr>
          <w:b/>
        </w:rPr>
        <w:t>E. 2.4</w:t>
      </w:r>
    </w:p>
    <w:p>
      <w:r>
        <w:t>Der Beweis der Tatsache sowie des Zeitpunktes der Zustellung ob­liegt der Verwaltung. Weil der Sozialversicherungsprozess von der Untersuchungsmaxime beherrscht wird, handelt es sich dabei nicht um die subjektive Beweisführungslast (Art. 8 des Schweizerischen Zivilgesetzbuchs vom 10. Dezember 1907 [ZGB, SR 210]), sondern in der Regel nur um die sogenannte objektive Beweislast in dem Sinne, dass im Falle der Beweislosigkeit der Entscheid zu Ungunsten jener Partei ausfällt, die aus dem unbewiesen gebliebenen Sachverhalt Rechte ab­leiten wollte (BGE 103 V 65 E. 2a mit weiteren Hinweisen). Entscheidend ist vorliegend, dass an die Nichtbeachtung der unter An­drohung des Ausschlusses erfolgenden Mahnungen schwerwiegen­de Folgen geknüpft sind, weshalb auch an den Nachweis der ordnungs­gemässen Zustellung der Mahnungen entsprechende Anforde­rungen zu stellen sind. Die SAK kann sich den Nachweis der Zustel­lung einge­schriebener Sendungen durch Empfangsbescheinigungen sichern, was mit der Grund dafür ist, dass die unter Androhung des Ausschlus­ses erforderliche Mahnung mit eingeschriebenem Brief zu erfolgen hat. 3.1 Die SAK machte vorliegend geltend, die Beschwerdeführerin sei mit Schreiben vom 30. August 2010 und vom 29. Oktober 2010 gemahnt worden, den offenen Betrag zu begleichen. Die Beschwerdeführerin habe keine Adressänderung gemeldet und die Schreiben seien von der Post auch nicht als unzustellbar retourniert worden; es sei davon auszugehen, dass die Beschwerdeführerin von den Mahnungen Kenntnis gehabt habe. 3.2 Die Beschwerdeführerin bestätigt, die Mahnung vom 30. August 2010 erhalten zu haben. Diese legte sie denn auch mit drei weiteren Schreiben der Vorinstanz ihrer Beschwerde bei. Die Beschwerdeführerin machte aber geltend, nicht umfassend über die Folgen der verspäteten Zahlung (Ausschluss aus der freiwilligen Versicherung) informiert gewesen zu sein; sie sei aufgrund des Schreibens vom 30. August 2010 der Ansicht gewesen, sie habe allenfalls Verzugszinsen zu bezahlen. 3.3 Aus den Akten der SAK geht nicht hervor, ob die Mahnungen der Beschwerdeführerin zugestellt werden konnten. Aus den Ausführungen der Beschwerdeführerin ist zu schliessen, dass diese zwar das Schreiben vom 30. August 2010 erhalten hat, da sie darauf Bezug nimmt und es zusammen mit der Beschwerde eingereicht hat. Indes ist aufgrund der Begründung der Beschwerde davon auszugehen, dass die Beschwerdeführerin die Mahnung vom 29. Oktober 2010 mit den Hinweisen zu den Folgen der Nichtbezahlung nicht erhalten hat, zumal sie geltend macht, nicht über einen möglichen Ausschluss informiert gewesen zu sein. Die SAK konnte die Zustellung der Mahnungen nicht rechts­genüglich (mittels Zustellnachweis für den eingeschriebenen Brief) nachweisen und auch aus dem Verhalten der Beschwerdeführerin ist nicht zu schliessen, dass diese die fragliche Mahnung erhalten hat. Damit fehlt eine der unabdingbar notwendi­gen Voraussetzungen für den Ausschluss der Beschwerdeführerin aus der freiwilligen Versicherung (vgl. Urteil des Bundesverwaltungsge­richts C-2973/2006 vom 19. Mai 2008), weshalb die Beschwer­de gut­zuheissen ist. Der Einspracheentscheid vom 10. Februar 2011 ist daher aufzuhe­ben; die Beschwerdeführerin bleibt somit weiterhin der freiwilligen Versicherung unterstellt. 4.1 Das Verfahren ist für die Parteien kostenlos (Art. 85bis Abs. 2 AHVG), so dass keine Verfahrenskosten zu erheben sind. 4.2 Die Beschwerdeinstanz kann der ganz oder teilweise obsiegenden Partei von Amtes wegen oder auf Begehren eine Entschädigung für ihr erwachsene notwendige und verhältnismässig hohe Kosten zusprechen. Da der obsiegenden Beschwerdeführerin, welche nicht vertreten war, keine verhältnismässig hohen Kosten entstanden sind und sie zu Recht keinen entsprechenden Antrag gestellt hat, ist ihr keine Parteientschädigung zuzusprechen (Art. 64 Abs. 1 VwVG und Art. 7 ff. des Reglements vom 21. Februar 2008 über die Kosten und Entschädigungen vor dem Bundesverwaltungsgericht [VGKE, SR 173.320.2]). Die unterliegende SAK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