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C-146/2008 vom 9. November 2009</w:t>
      </w:r>
    </w:p>
    <w:p>
      <w:r>
        <w:t>Bundesverwaltungsgericht, 2009-11-09, IT</w:t>
      </w:r>
    </w:p>
    <w:p>
      <w:r>
        <w:rPr>
          <w:b/>
        </w:rPr>
        <w:t xml:space="preserve">Quelle: </w:t>
      </w:r>
      <w:r>
        <w:t>https://mcp.opencaselaw.ch/entscheid/bvger_C-146_2008</w:t>
      </w:r>
    </w:p>
    <w:p>
      <w:r>
        <w:t>FR: TAF C-146/2008 du 9 novembre 2009</w:t>
      </w:r>
    </w:p>
    <w:p>
      <w:r>
        <w:t>IT: TAF C-146/2008 del 9 novembre 2009</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alla spese giudiziarie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ritenuto tuttavia il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w:t>
      </w:r>
    </w:p>
    <w:p>
      <w:r>
        <w:t>La ricorrente contesta la validità materiale della decisione dell'UAIE, sostenendo di subire una perdita di guadagno del 50% e di avere perciò diritto ad una mezza rendita d'invalidità.</w:t>
      </w:r>
    </w:p>
    <w:p>
      <w:r>
        <w:rPr>
          <w:b/>
        </w:rPr>
        <w:t>E. 5</w:t>
      </w:r>
    </w:p>
    <w:p>
      <w:r>
        <w:t>Secondo l'art. 24 cpv. 1 LPGA, il diritto a prestazioni si estingue cinque anni dopo la fine del mese per cui era dovuta la prestazione. In deroga a questa disposizione, l'art. 48 cpv. 2 LAI precisa che, se l'assicurato si annuncia più di dodici mesi dopo la nascita del diritto, le prestazioni dell'assicurazione invalidità possono essere assegnate soltanto per i dodici mesi precedenti la richiesta. Esse sono assegnate per un tempo anteriore, se l'assicurato non poteva conoscere i fatti motivanti il diritto e presenta la richiesta entro dodici mesi da quando ne ha avuto conoscenza. In concreto, la ricorrente ha presentato la domanda di rendita il 18 maggio 2006. Questo Tribunale può quindi limitarsi ad esaminare se la ricorrente abbia diritto ad una rendita il 18 maggio 2005 (ossia dodici mesi precedenti la presentazione della domanda), oppure se il diritto ad una rendita sia sorto tra tale data ed il 16 novembre 2007, data della decisione impugnata. Il giudice delle assicurazioni sociali analizza, infatti, la legalità della decisione impugnata, in generale, secondo lo stato di fatto esistente al momento in cui la stessa è stata resa (DTF 130 V 445, citato sopra al consid. 3.2).</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la ricorrente ha versato contributi all'AVS/AI svizzera durante più di un anno intero e, pertanto, adempie la condizione della durata minima di contribuzione, alla quale la legge subordina l'erogazione di una rendita.</w:t>
      </w:r>
    </w:p>
    <w:p>
      <w:r>
        <w:rPr>
          <w:b/>
        </w:rPr>
        <w:t>E. 7.1</w:t>
      </w:r>
    </w:p>
    <w:p>
      <w:r>
        <w:t>In conformità con 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consideri i disturbi lamentati dall'assicurato,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dalla documentazione medica all'incarto e, in particolare, dalla perizia medica del SAM del 30 maggio 2007 (incarto AI, doc. 22/1 a 29), si evince la diagnosi, con influsso sulla capacità lavorativa, di cefalee tensionali e, senza influenza sulla capacità lavorativa, di sindrome ansioso-depressiva d'entità lieve-media, di pregressi tre interventi d'ernioplastica per ernia epigastrica e di varici reticolari agli arti inferiori bilateralmente. Questa diagnosi è univoca agli atti, corrisponde a quella posta dal dott. R._______ nel suo rapporto del 15 maggio 2006 (incarto Winterthur, doc. 1/6 a 9), e non è stata messa in dubbio dalla ricorrente, per cui il collegio giudicante non intravede motivi per discostarsene. In questa sede, la ricorrente ha prodotto un certificato del dott. S._______, suo medico curante, del 7 gennaio 2008, nel quale è menzionata una mastopatia fibrocistica. A questo proposito, il dott. E._______, medico dell'UAI, ha negato, nella sua presa di posizione del 1° febbraio 2008, che da ciò risulti comprovato un peggioramento dello stato di salute della ricorrente. Inoltre, tale affezione esorbita dal periodo d'esame che vincola questo Tribunale e il quale si protrae dal 9 maggio 2005 al 16 novembre 2007, come già indicato sopra. Esorbita pure dal detto periodo d'esame la distimia di cui si riferisce nel certificato della dott.ssa Ba._______, del 6 marzo 2008, anch'esso esibito nell'ambito di questa procedura.</w:t>
      </w:r>
    </w:p>
    <w:p>
      <w:r>
        <w:rPr>
          <w:b/>
        </w:rPr>
        <w:t>E. 9.2</w:t>
      </w:r>
    </w:p>
    <w:p>
      <w:r>
        <w:t>Bisogna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una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dell'invalidità solo a partire dal momento in cui ha subito, senza interruzione notevole, un'incapacità lavorativa media del 40% almeno durante un anno.</w:t>
      </w:r>
    </w:p>
    <w:p>
      <w:r>
        <w:rPr>
          <w:b/>
        </w:rPr>
        <w:t>E. 9.3</w:t>
      </w:r>
    </w:p>
    <w:p>
      <w:r>
        <w:t>Per quanto concerne le conseguenze invalidanti delle affezioni diagnosticate, la dott.ssa C._______, specialista in psichiatria, ha rilevato, nella sua perizia del 6 maggio 2007 (incarto AI, doc. 22/15 a 18), che la ricorrente presenta uno stato di ansia libera di qualità lieve-media, ma che nell'insieme non vi è sintomatologia che possa essere responsabile di un'incapacità di lavoro dal punto di vista strettamente psichiatrico. La perita ha inoltre considerato che la sofferenza e gli impedimenti descritti dalla ricorrente, non possono essere oggettivati e che il dolore lamentato assume in parte i caratteri di un disturbo somatoforme, ma che la prevalenza del caso deve essere attribuita alla sindrome mista ansioso-depressiva, e ciò nel quadro di uno stato psicologico discreto che non ha subito peggioramenti nel corso degli ultimi cinque o sei anni. Dal punto di vista neurologico, il dott. Be._______ ha osservato, nella sua perizia del 22 maggio 2007 (incarto AI, doc. 22/21 a 23), che lo stato neurologico dettagliato della ricorrente è risultato perfettamente normale e che le sue caratteristiche anamnestiche depongono in favore di una cefalea tensionale, l'importante sintomatologia ansiosa soggiacente essendo un fattore rilevante nel determinare le cefalee. Il perito ha aggiunto che le cefalee più intense possono essere all'origine di una temporanea interruzione dell'attività lavorativa, che non dovrebbe comunque superare il 25% in qualsiasi attività proponibile. Nel rapporto pluridisciplinare del SAM la capacità lavorativa della ricorrente è pertanto stata fissata al 75% (presenza tutto il giorno, ma con un rendimento ridotto), in qualsiasi tipo d'attività e come casalinga, tale capacità essendo presente da lungo tempo. Il dott. An._______, medico dell'UAI, chiamato ad esprimersi in merito alle conclusioni della perizia del SAM, ha considerato, nella sua presa di posizione del 13 luglio 2007 (incarto AI, doc. 25), che essa è convincente e corroborata dalle necessarie valutazioni specialistiche, precisando che la ricorrente è capace di lavorare, nella misura descritta dai periti del SAM, a partire dal mese di luglio 2005. La ricorrente fa invece valere un'incapacità lavorativa del 50%, sulla base della valutazione del proprio medico curante contenuta nei certificati del 13 ottobre 2006 e del 24 ottobre 2007 (incarto AI, doc. 11 e 42), oltre a quello del 7 gennaio 2008. Ora, tali certificati si limitano ad elencare le diverse affezioni riscontrate nella ricorrente, ma non sono corroborati da esami oggettivi e, come sottolineato a giusta ragione dai dott.ri An._______ ed E._______ dell'UAI, non permettono quindi di ritenere che sia intervenuta una modifica dello stato di salute dell'interessata.</w:t>
      </w:r>
    </w:p>
    <w:p>
      <w:r>
        <w:rPr>
          <w:b/>
        </w:rPr>
        <w:t>E. 9.4</w:t>
      </w:r>
    </w:p>
    <w:p>
      <w:r>
        <w:t>Alla luce di queste considerazioni, il collegio giudicante non può che aderire alla valutazione dettagliata e ben argomentata del SAM, confermata dai dott.ri An._______ ed E._______, riconoscendo che la capacità lavorativa della ricorrente è pari al 75%, dal mese di luglio 2005, in qualsiasi attività proponibile.</w:t>
      </w:r>
    </w:p>
    <w:p>
      <w:r>
        <w:rPr>
          <w:b/>
        </w:rPr>
        <w:t>E. 10</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L'UAI ha determinato, visti i dati forniti dal datore di lavoro per il 2006, un salario da valido di Fr. 42'250.- (3'250 x 13) e, secondo i dati dell'UFS relativi ad attività leggere e non qualificate (TA1, categoria professionale 4, settore dell'industria e dell'artigianato), un salario da invalido di Fr. 49'659.-, ridotto del 5% per tenere conto delle circostanze personali dell'assicurata e considerato nella misura del 75%, ossia Fr. 35'382.-, per cui ha ottenuto una perdita di guadagno del 16.26%, corrispondente ad un grado d'invalidità pari al 16%, il quale non dà diritto all'ottenimento di una rendita d'invalidità svizzera. Procedendo in questo modo, l'UAI ha eseguito correttamente il raffronto dei redditi necessario per il calcolo del grado d'invalidità, per cui il risultato ottenuto non sottostà a critica. Ciò detto, considerato che il salario da invalido ritenuto dall'UAI è superiore al salario percepito effettivamente dalla ricorrente nella sua attività di cassiera, si rileva, a titolo abbondanziale, che, prendendo in conto un salario da valido come cassiera di Fr. 42'250.-, secondo i dati forniti dal datore di lavoro per il 2006 (incarto AI, doc. 4/2), nella misura del 75% e ridotto del 5% in funzione delle circostanze personali della ricorrente, ossia Fr. 30'103.-, si ottiene una perdita di guadagno del 28,75%, corrispondente ad un grado d'invalidità del 29%, il quale non dà diritto all'ottenimento di una rendita d'invalidità svizzera.</w:t>
      </w:r>
    </w:p>
    <w:p>
      <w:r>
        <w:rPr>
          <w:b/>
        </w:rPr>
        <w:t>E. 11</w:t>
      </w:r>
    </w:p>
    <w:p>
      <w:r>
        <w:t>Di conseguenza, conformemente alle considerazioni sopra esposte, la decisione di rigetto della domanda per l'ottenimento di una rendita d'invalidità deve essere confermata e il ricorso respinto.</w:t>
      </w:r>
    </w:p>
    <w:p>
      <w:r>
        <w:rPr>
          <w:b/>
        </w:rPr>
        <w:t>E. 12</w:t>
      </w:r>
    </w:p>
    <w:p>
      <w:r>
        <w:t>Secondo l'art. 63 cpv. 1 PA, le spese processuali sono di regola messe a carico della parte soccombente. In concreto, visto l'esito della procedura che vede la ricorrente soccombere, le spese processuali di Fr. 300.- sono poste a carico di quest'ultima e compensate con l'anticipo dello stesso ammontare, versato il 31 marzo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