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C-1466/2017 vom 1. Dezember 2017</w:t>
      </w:r>
    </w:p>
    <w:p>
      <w:r>
        <w:t>Bundesverwaltungsgericht, 2017-12-01, FR</w:t>
      </w:r>
    </w:p>
    <w:p>
      <w:r>
        <w:rPr>
          <w:b/>
        </w:rPr>
        <w:t xml:space="preserve">Quelle: </w:t>
      </w:r>
      <w:r>
        <w:t>https://mcp.opencaselaw.ch/entscheid/bvger_C-1466_2017</w:t>
      </w:r>
    </w:p>
    <w:p>
      <w:r>
        <w:t>FR: TAF C-1466/2017 du 1 décembre 2017</w:t>
      </w:r>
    </w:p>
    <w:p>
      <w:r>
        <w:t>IT: TAF C-1466/2017 del 1 dicembre 2017</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le recours est recevable.</w:t>
      </w:r>
    </w:p>
    <w:p>
      <w:r>
        <w:rPr>
          <w:b/>
        </w:rPr>
        <w:t>E. 2.1</w:t>
      </w:r>
    </w:p>
    <w:p>
      <w:r>
        <w:t>L'examen du droit à des prestations selon la LAI est régi par la teneur de la LAI au moment de la décision entreprise eu égard au principe selon lequel la législation applicable reste en principe celle qui était en vigueur lors de la réalisation de l'état de fait qui doit être apprécié juridiquement ou qui a des conséquences juridiques, sous réserve de dispositions particulières de droit transitoire (ATF 136 V 24 consid. 4.3 et les références; voir ég. ATF 139 V 297 consid. 2.1, ATF 130 V 445 consid. 1.2.1). Les dispositions de la 6ème révision de la LAI (premier volet) en vigueur depuis le 1er janvier 2012 (RO 2011 5659, FF 2010 1647) sont applicables.</w:t>
      </w:r>
    </w:p>
    <w:p>
      <w:r>
        <w:rPr>
          <w:b/>
        </w:rPr>
        <w:t>E. 2.2</w:t>
      </w:r>
    </w:p>
    <w:p>
      <w:r>
        <w:t>La procédure dans le domaine des assurances sociales fait prévaloir la maxime inquisitoire (ATF 138 V 218 consid. 6). Le TAF définit les faits et apprécie les preuves d'office et librement (cf. art. 12 PA). Il applique le droit d'office, sans être lié par les motifs invoqués par les parties (art. 62 al. 4 PA ; Fritz. Gygi, Bundesverwaltungsrechtspflege, 1983, p. 212 ; Thomas Häberli, in : B. Waldmann / Ph. Weissenberger, Praxiskommentar Verwal-tungsverfahrensgesetz, 2e éd. 2016, art. 62 n° 43), ni par l'argumentation juridique développée dans la décision entreprise (ATF 139 V 349, ATF 136 V 376 consid. 4.1, ATF 132 V 105 consid. 5.2.8; Pierre Moor / Etienne Poltier, Droit administratif, vol. II, 3e éd. 2011, p. 300 s.; Jérôme Can-drian, Introduction à la procédure administrative fédérale, 2013, n° 176; Frésard-Fellay/Kahil-Wolff/Perrenoud, Droit suisse de la sécurité sociale II, 2015, p. 499). L'autorité saisie se limite en principe aux griefs soulevés et n'examine les questions de droit non invoquées que dans la mesure où les arguments des parties ou le dossier l'y incitent (ATF 122 V 157 consid. 1a, ATF 121 V 204 consid. 6c; Moser/Beusch/Kneubühler, Prozessieren vor dem Bundesverwaltungsgericht, 2e éd. 2013, p. 25 n. 1.55). Elle ne tient pour existants que les faits qui sont prouvés, cas échéant au degré de la vraisemblance prépondérante (ATF 139 V 176 consid. 5.2). Les parties ont le devoir de collaborer à l'instruction (art. 13 PA, 43 LPGA).</w:t>
      </w:r>
    </w:p>
    <w:p>
      <w:r>
        <w:rPr>
          <w:b/>
        </w:rPr>
        <w:t>E. 2.3</w:t>
      </w:r>
    </w:p>
    <w:p>
      <w:r>
        <w:t>Dans le cadre de l'examen du droit aux prestations le tribunal ne peut prendre en considération en principe que les rapports médicaux établis antérieurement à la décision attaquée, à moins que des rapports médicaux établis ultérieurement permettent de mieux comprendre la situation de santé et de capacité de travail de l'intéressé jusqu'à la décision dont est recours (ATF 129 V 1 consid. 1.2, ATF 121 V 362 consid. 1b). Les faits survenus postérieurement, et qui ont modifié cette situation, doivent normalement faire l'objet d'une nouvelle décision administrative (ATF 117 V 293 consid. 4, ATF 116 V 245 consid. 1a).</w:t>
      </w:r>
    </w:p>
    <w:p>
      <w:r>
        <w:rPr>
          <w:b/>
        </w:rPr>
        <w:t>E. 3.1</w:t>
      </w:r>
    </w:p>
    <w:p>
      <w:r>
        <w:t>L'affaire présente un aspect transfrontalier dans la mesure où la recourante est ressortissante portugaise domiciliée au Portugal. La cause doit donc être tranchée non seulement au regard des normes du droit suisse mais également à la lumières des dispositions de l'accord entre la Suisse et la Communauté européenne et ses Etats membres sur la libre circulation des personnes du 21 juin 1999 (ALCP, RS 0.142.112.681) et des règlements auxquels il renvoie. L'ALCP et ses règlements sont entrés en vigueur pour la relation entre la Suisse et les Etats de l'Union européenne le 1er juin 2002. Dans le cadre de l'ALCP la Suisse est aussi un « Etat membre » au sens des règlements de coordination (art. 1er al. 2 de l'annexe II de l'ALCP).</w:t>
      </w:r>
    </w:p>
    <w:p>
      <w:r>
        <w:rPr>
          <w:b/>
        </w:rPr>
        <w:t>E. 3.2</w:t>
      </w:r>
    </w:p>
    <w:p>
      <w:r>
        <w:t>Depuis le 1er avril 2012 les parties contractantes appliquent entre elles le règlement (CE) n° 883/2004 du Parlement européen et du Conseil du 29 avril 2004 portant sur la coordination des systèmes de sécurité sociale, modifié par le règlement (CE) n° 988/2009 du Parlement européen et du Conseil du 16 septembre 2009 (RS 0.831.109.268.1; ci-après : règlement n° 883/2004). Dans son champ d'application, le règlement n° 883/2004 se substitue à toute convention de sécurité sociale applicable entre les États membres. Les anciens règlements (CEE) n° 1408/71 et (CEE) 574/72 sont, selon l'art. 1er al. 1 en relation avec la section A ch. 3 et 4 dans la version en vigueur au 1er avril 2012 de l'annexe II à l'ALCP, applicables entre les parties contractantes dans la mesure où le règlement (CE) n° 883/2004 ou (CE) 987/2009 y fait référence ou lorsque des affaires qui ont eu lieu par le passé sont concernées (cf. ég. l'art. 87 al. 1 du règlement [CE] n° 883/2004 et l'ATF 138 V 533 consid. 2.2). Certaines dispositions de conventions de sécurité sociale que les Etats membres ont conclues avant la date d'application du présent règlement restent applicables, pour autant notamment qu'elles soient plus favorables pour les bénéficiaires (art. 8 du règlement n° 883/2004) et que ceux-ci aient exercé leur droit à la libre circulation avant l'entrée en vigueur de l'ALCP (ATF 133 V 329 consid. 8.6).</w:t>
      </w:r>
    </w:p>
    <w:p>
      <w:r>
        <w:rPr>
          <w:b/>
        </w:rPr>
        <w:t>E. 3.3</w:t>
      </w:r>
    </w:p>
    <w:p>
      <w:r>
        <w:t>Selon l'art. 4 du règlement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w:t>
      </w:r>
    </w:p>
    <w:p>
      <w:r>
        <w:rPr>
          <w:b/>
        </w:rPr>
        <w:t>E. 3.4</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la procédure ainsi que les conditions à l'octroi d'une rente d'invalidité suisse sont déterminées exclusivement d'après le droit interne suisse. Même après l'entrée en vigueur de l'ALCP, le degré d'invalidité d'un assuré qui prétend à une rente de l'assurance-invalidité suisse est déterminé exclusivement d'après le droit suisse (ATF 130 V 253 consid. 2.4 ; arrêt du TF 9C_573/2012 du 16 janvier 2013 consid. 4). En effet selon l'art. 46 al. 3 du règlement n° 883/2004 une décision prise par l'institution d'un Etat membre quant au degré d'invalidité de l'intéressé s'impose à l'institution de tout autre Etat membre concerné à condition que la concordance des conditions relatives au degré d'invalidité entre les législations de ces Etats membres soit reconnue à l'annexe VII dudit règlement. Or tel n'est pas le cas entre la Suisse et les autres Etats membres (cf. ATF 130 V 253 consid. 2.4). Cela étant, la documentation médicale et administrative fournie par les institutions de sécurité sociale d'un autre Etat membre doit être prise en considération (art. 49 al. 2 du règlement 987/2009).</w:t>
      </w:r>
    </w:p>
    <w:p>
      <w:r>
        <w:rPr>
          <w:b/>
        </w:rPr>
        <w:t>E. 4</w:t>
      </w:r>
    </w:p>
    <w:p>
      <w:r>
        <w:t>L'objet du présent litige est le bien-fondé de l'octroi d'une rente d'invalidité entière limitée dans le temps du 1er juin 2015 au 30 septembre 2015 au motif notamment de la reprise par l'assurée d'une activité lucrative à plein temps au 1er juillet 2015 adaptée et exigible, l'assurée faisant valoir un droit à une rente au-delà du 30 septembre 2015 n'ayant pu maintenir dite activité pour raison de santé.</w:t>
      </w:r>
    </w:p>
    <w:p>
      <w:r>
        <w:rPr>
          <w:b/>
        </w:rPr>
        <w:t>E. 5</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art. 6 et 45 du règlement n° 883/2004). La recourante a versé des cotisations à l'AVS/AI pendant plus de 3 ans et remplit donc la condition de la durée minimale de cotisations eu égard au moment de l'ouverture éventuelle du droit à la rente. Il reste à examiner si elle est invalide au sens de la LAI.</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6.3</w:t>
      </w:r>
    </w:p>
    <w:p>
      <w:r>
        <w:t>Selon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 Meyer/Reichmuth, Bundesgesetz über die Invalidenversicherung [IV], 3e éd. 2014, art. 28 n° 32); - au terme de cette année, il est invalide (art. 8 LPGA) à 40 % au moins (let. c).</w:t>
      </w:r>
    </w:p>
    <w:p>
      <w:r>
        <w:rPr>
          <w:b/>
        </w:rPr>
        <w:t>E. 6.4</w:t>
      </w:r>
    </w:p>
    <w:p>
      <w:r>
        <w:t>Selon l'art. 28 al. 2 LAI l'assuré a droit à un quart de rente s'il est invalide à 40% au moins, à une demi-rente s'il est invalide à 50% au moins, à trois-quarts de rente s'il est invalide à 60% au moins et à une rente entière s'il est invalide à 70% au moins. Toutefois, selon l'art. 29 al. 4 LAI, les rentes correspondant à un taux d'invalidité inférieur à 50% ne sont versées qu'aux assurés qui ont leur domicile et leur résidence habituelle (art. 13 LPGA) en Suisse. Suite à l'entrée en vigueur le 1er juin 2002 de l'ALCP (cf. supra 3.1), la restriction prévue à l'art. 29 al. 4 LAI n'est pas applicable lorsqu'un assuré est un ressortissant suisse ou de l'UE et réside dans l'un des Etats membres de l'UE (ATF 130 V 253 consid. 2.3; art. 4 et 7 du règlement n° 883/04).</w:t>
      </w:r>
    </w:p>
    <w:p>
      <w:r>
        <w:rPr>
          <w:b/>
        </w:rPr>
        <w:t>E. 6.5</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L'al. 3 précise que la rente est versée dès le début du mois au cours duquel le droit prend naissance.</w:t>
      </w:r>
    </w:p>
    <w:p>
      <w:r>
        <w:rPr>
          <w:b/>
        </w:rPr>
        <w:t>E. 7.1</w:t>
      </w:r>
    </w:p>
    <w:p>
      <w:r>
        <w:t>La recourante a travaillé en dernier lieu au Portugal comme serveuse et vendeuse d'articles religieux, mais son activité déterminante pour l'évaluation de son invalidité économique est celle de couturière qu'elle a exercé en Suisse et au Portugal jusqu'en 2008. Il appert du dossier qu'elle a cessé son activité de couturière en 2008 en raison de la survenance de son cancer du sein et n'a plus travaillé, qu'elle a déposé une demande de rente d'invalidité suisse le 24 juin 2013 auprès de l'organe de liaison portugais transmise à l'OAIE début 2016. Du 15 août 2014 au 15 juin 2015 elle reprit une activité lucrative en raison de difficultés économiques qui fut suivie d'une nouvelle activité plus légère du 1er juillet 2015 au 31 décembre 2016 cessée pour raison de santé.</w:t>
      </w:r>
    </w:p>
    <w:p>
      <w:r>
        <w:rPr>
          <w:b/>
        </w:rPr>
        <w:t>E. 7.2</w:t>
      </w:r>
    </w:p>
    <w:p>
      <w:r>
        <w:t>Selon l'art. 16 LPGA, pour les assurés ayant exercé précédemment une activité lucrative à plein temps,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w:t>
      </w:r>
    </w:p>
    <w:p>
      <w:r>
        <w:rPr>
          <w:b/>
        </w:rPr>
        <w:t>E. 7.3</w:t>
      </w:r>
    </w:p>
    <w:p>
      <w:r>
        <w:t>Selon une jurisprudence constante, bien que l'invalidité soit une notion juridique et économique, les données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les conduisent à retenir telle ou telle limitation de la capacité de travail (ATF 132 V 93 consid. 4, ATF 125 V 256 consid. 4; ATF 115 V 133 consid. 2; ATF 114 V 310 consid. 3c; ATF 105 V 156 consid. 1; voir ég. ATF 140 V 193 consid. 3.2).</w:t>
      </w:r>
    </w:p>
    <w:p>
      <w:r>
        <w:rPr>
          <w:b/>
        </w:rPr>
        <w:t>E. 8.1</w:t>
      </w:r>
    </w:p>
    <w:p>
      <w:r>
        <w:t>Selon l'art. 43 al. 1, 1ère phrase, LPGA l'assureur examine les demandes, prend d'office les mesures d'instruction nécessaires et recueille les renseignements dont il a besoin. La loi attribue à l'administration la tâche d'éclaircir la situation de fait juridiquement déterminante selon le principe inquisitoire de façon correcte et complète de sorte que fondée sur les faits établis la décision quant aux prestations à allouer (cf. l'art. 49 LPGA) puisse être prise. S'agissant de l'assurance-invalidité ces tâches sont de la compétence de l'office de l'assurance-invalidité compétent ratione loci (Office AI, art. 54-56 en relation avec l'art. 57 al. 1 let. c-g LAI). Selon l'art. 59 al. 2 et 2bis LAI, les services médicaux régionaux (SMR) interdisciplinaires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Les médecins d'un service médical régional doivent, comme tout expert, disposer des compétences professionnelles nécessaires (Valterio, op. cit., n° 2596). Leurs qualifications spécialisées sont essentielles pour l'appréciation juridique de leurs prises de position et expertises. Tant l'administration que les tribunaux doivent pouvoir se référer aux connaissances spécialisées des médecins et experts quant au bien-fondé des conclusions d'un rapport ou d'une expertise (cf. arrêts du TF I 142/07 du 20 novembre 2007 consid. 3.2.3 et 9C_323/2009 du 14 juillet 2009 consid. 4.3.1). Fondé sur les données de son service médical, l'office AI doit déterminer le droit aux prestations. Ceci présuppose que lesdites données satisfassent aux critères jurisprudentiels de valeurs probantes requises des rapports médicaux (cf. arrêt du TF 9C_1063/2009 du 22 janvier 2010 consid. 4.2.3).</w:t>
      </w:r>
    </w:p>
    <w:p>
      <w:r>
        <w:rPr>
          <w:b/>
        </w:rPr>
        <w:t>E. 8.2</w:t>
      </w:r>
    </w:p>
    <w:p>
      <w:r>
        <w:t>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17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ATF 137 V 210 consid. 6.2.4 ; arrêt du TF 9C_165/2015 du 12 novembre 2015 consid. 4.3; Valterio, op. cit. n° 2920 ss). La valeur probante de ces rapports présuppose que le dossier contienne l'exposé complet de l'état de santé de l'assuré (anamnèse, évolution de l'état de santé et status actuel) et qu'il se soit agi essentiellement que d'apprécier un état de fait médical non contesté établi de manière concordante par les médecins (cf. les arrêts du TF 9C_335/2015 du 1er septembre 2015 consid. 3.1, 8C_653/2009 du 28 octobre 2009 consid. 5.2, 8C_239/ 2008 du 17 décembre 2009 consid. 7.2; cf. également arrêt du TF 9C_462/ 2014 du 16 septembre 2014 consid. 3.2.2 et les références). Selon la jurisprudence il n'est pas interdit aux tribunaux des assurances de se fonder uniquement ou principalement sur les rapports internes des SMR mais en telles circonstances l'appréciation des preuves sera soumise à des exigences sévères. Une instruction complémentaire sera ainsi requise s'il subsiste des doutes, même minimes, quant au bien-fondé des rapports et expertises médicaux (ATF 139 V 225 consid. 5.2, 135 V 465 consid. 4.4, 122 V 157 consid. 1d; arrêt du TF 9C_25/2015 du 1er mai 2015 consid. 4.1; Valterio, op. cit. n° 2920). Si les pièces au dossier ne permettent pas de trancher les questions contestées, les rapports sur dossier du SMR au sens de l'art. 49 al. 1 et 3 RAI ne peuvent généralement pas constituer une évaluation finale, mais doivent donner lieu à une instruction complémentaire (arrêt du TF 9C_58/2011 du 25 mars 2011 consid. 3.3).</w:t>
      </w:r>
    </w:p>
    <w:p>
      <w:r>
        <w:rPr>
          <w:b/>
        </w:rPr>
        <w:t>E. 8.3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134 V 231 consid. 5.1, ATF 125 V 351 consid. 3a et les références). Au demeurant, l'élément déterminant pour la valeur probante n'est ni l'origine du moyen de preuve ni sa désignation comme rapport ou comme expertise, mais bel et bien son contenu (ATF 125 V 351 consid. 3, 135 V 465 consid. 4.4; arrêt du TF 9C_555/2015 du 23 mars 2016 consid 5.2). La valeur probante d'une expertise est de plus liée à la condition que l'expert dispose de la formation spécialisée nécessaire, de compétences professionnelles dans le domaine d'investigation (cf. arrêts du TF 9C_745/2010 du 30 mars 2011 consid. 3.2 et la référence, 9C_59/2010 du 11 juin 2010 consid. 4.1 ; cf. Valterio, op. cit. n° 2912). En présence d'avis contradictoires, le Tribunal doit apprécier l'ensemble des preuves à disposition et indiquer les motifs pour lesquels il se fonde sur une appréciation plutôt qu'une autre. Selon la jurisprudence, peut constituer une raison de s'écarter d'une expertise le fait que celle-ci contient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 3b/aa, 118 V 220 consid. 1b et les références ; aussi les arrêts du TF 9C_748/2013 du 10 février 2014 consid. 4.1.1 et 4.1.2, I 131/03 du 22 mars 2004 consid. 2.2).</w:t>
      </w:r>
    </w:p>
    <w:p>
      <w:r>
        <w:rPr>
          <w:b/>
        </w:rPr>
        <w:t>E. 8.4</w:t>
      </w:r>
    </w:p>
    <w:p>
      <w:r>
        <w:t>La jurisprudence a posé des lignes directrices en ce qui concerne la manière d'apprécier certains types d'expertise ou de rapports médicaux. Le juge procède à cette appréciation selon le principe de la libre appréciation des preuves selon les types de rapports médicaux et expertises (ATF 125 V 351 consid. 3b).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arrêt du TF I 701/04 du 27 juillet 2005 consid. 2.1.2). S'agissant des documents produits par le service médical d'un assureur étant partie au procès (art. 59 al. 2bis LAI),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consid. 1d; 123 V 175 consid. 3d; 125 V 351 consid. 3b ee; cf. aussi arrêts du TF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divergeant - même émanant d'un spécialiste - ait été produit ne suffit toutefois pas à lui seul à remettre en cause la valeur probante d'un rapport médical (arrêt du TF U 365/06 du 26 janvier 2007 consid. 4.1). Quant aux rapports établis par les médecins traitant, le juge peut et doit tenir compte du fait que selon l'expérience, le médecin traitant est généralement enclin, en cas de doute, à prendre parti pour son patient en raison de la relation de confiance qui l'unit à ce dernier (ATF 125 précité consid. 3b/cc et les références). Cette constatation s'applique de même aux médecins non traitant consultés par un patient en vue d'obtenir un moyen de preuve à l'appui de sa requête. Toutefois le simple fait qu'un certificat médical ou une expertise de partie est établi à la demande d'une partie et est produit pendant la procédure ne justifie pas en soi des doutes quant à sa valeur probante (cf. ATF 125 précité consid. 3b/dd et les références citées).</w:t>
      </w:r>
    </w:p>
    <w:p>
      <w:r>
        <w:rPr>
          <w:b/>
        </w:rPr>
        <w:t>E. 8.5</w:t>
      </w:r>
    </w:p>
    <w:p>
      <w:r>
        <w:t>Dans le domaine des assurances sociales, l'administration, et le cas échéant le Tribunal,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(ATF 121 V 47 consid. 2a et 208 consid. 6b ainsi que les références).</w:t>
      </w:r>
    </w:p>
    <w:p>
      <w:r>
        <w:rPr>
          <w:b/>
        </w:rPr>
        <w:t>E. 9</w:t>
      </w:r>
    </w:p>
    <w:p>
      <w:r>
        <w:t>Dans la présente cause il appert que l'assurée a présenté des atteintes importantes à la santé depuis 2008 liées au cancer du sein et à sa répercussion sur le plan psychiatrique. Elle a cessé de travailler à la suite de son cancer. Le dépôt de sa demande de rente d'invalidité remonte au 24 juin 2013 de sorte que l'ouverture d'un droit à la rente dans la mesure des conditions remplies au droit à la rente (art. 28 LAI ; cf. supra consid. 6.3 et 6.4) ne pouvait pas être antérieure au 1er décembre 2013 (art. 29 al. 1 et 3 LAI). Le service médical de l'OAIE, respectivement l'OAIE, a retenu comme date de point de départ du délai d'une année selon l'art. 28 al. 1 LAI la date d'hospitalisation pour la pose du pacemaker soit le 24 juin 2014 portant l'ouverture du droit à la rente dans la mesure des conditions remplies au 24 juin 2015, soit au 1er juin 2015. Il n'appert pas du dossier qu'une date antérieure au 24 juin 2014 doive manifestement être retenue sur la base des documents médicaux produits bien qu'il paraisse de l'ensemble du dossier une dégradation de l'état de santé depuis 2008 tant sur les plans physique que psychologique qui a perduré avec notamment en 2012 une hystérectomie peu documentée. Dans son recours l'intéressée, représentée par un avocat, ne remet pas en question la date du 1er juin 2015 comme début du droit à la rente après le délai d'attente d'une année. Elle peut dans ce cadre être retenue. Le mois de juin 2015 correspond également à celui au cours duquel l'intéressée a cessé son emploi indiqué comme n'étant plus adapté à son état de santé et a débuté au 1er juillet 2015 une activité en tant qu'employée de vente d'articles religieux. Il n'appert pas clairement du dossier si l'activité nouvellement exercée l'a été aux conditions du marché ou si cette activité a été proposée à l'intéressée comme un emploi de caractère social compte tenu de sa situation financière difficile de personne ayant un enfant à charge. Le questionnaire à l'employeur indique un salaire alloué inférieur de moitié (pce 38 p. 7) sans que cela soit étayé au dossier. Cette activité a été maintenue jusqu'à fin 2016 alors qu'en date du 20 août 2016 le Dr E._______ a établi un rapport médical ne permettant pas de considérer que l'intéressée présentait toutes les capacités nécessaires pour exercer à plein rendement une activité adaptée même légère tant sur le plan physique que psychologique. Compte tenu de ce qui précède la capacité de travail de l'intéressée ne peut être retenue sans nulle doute comme entière dans une activité adaptée à compter du 1er juillet 2015 comme l'a considéré le service médical de l'OAIE sans autres investigations.</w:t>
      </w:r>
    </w:p>
    <w:p>
      <w:r>
        <w:rPr>
          <w:b/>
        </w:rPr>
        <w:t>E. 10</w:t>
      </w:r>
    </w:p>
    <w:p>
      <w:r>
        <w:t>Dans son recours l'intéressée fait valoir être victime du fait d'avoir tenté de travailler et conteste ainsi le bien-fondé de la décision de l'OAIE dans la mesure où celle-ci ne lui accorde plus de rente d'invalidité au-delà du 30 septembre 2015 alors que les rapports médicaux qu'elle a produit démontreraient ses atteintes à la santé et son incapacité de travailler y compris dans une activité légère. Elle souligne qu'elle n'a pu maintenir ses contrats de travail de serveuse puis de vendeuse d'articles religieux en raison de ses atteintes à la santé. Elle a en particulier produit un rapport psychiatrique du Dr E._______ du 20 août 2016 faisant état d'une incapacité totale et durable de travail. De son côté l'OAIE, suivant son service médical, se fonde principalement sur les activités lucratives successives de l'intéressée d'août 2014 à juin 2015 comme serveuse et vendeuse d'articles religieux, et à compter du 1er juillet 2015 comme vendeuse d'articles religieux, pour relativiser le rapport psychiatrique du Dr E._______ du 20 août 2016. Il affirme qu'à compter du 1er juillet 2015 il y a lieu de considérer que l'intéressée exerce une activité lucrative adaptée et exigible à plein temps. Il retient que par comparaison de revenus selon les chiffres de l'ESS 2012 prenant en compte son ancienne activité de couturière, d'une part, et une activité simple et répétitive exercée à 100%, d'autre part, l'invalidité de l'intéressée, compte tenu d'un abattement sur le revenu d'invalide de 10% en raison de limitations fonctionnelles et de l'âge de l'intéressée, se monte à 4%, taux n'ouvrant pas le droit à une rente. Il appert du dossier que la discussion du cas porte essentiellement sur l'existence d'une atteinte psychiatrique déterminante en lien avec la possibilité pour l'intéressée d'exercer une activité légère. Il n'appert pas du dossier des atteintes somatiques déterminantes affectant l'intéressée dans une activité légère reconnue exigible sur le plan somatique.</w:t>
      </w:r>
    </w:p>
    <w:p>
      <w:r>
        <w:rPr>
          <w:b/>
        </w:rPr>
        <w:t>E. 11.1</w:t>
      </w:r>
    </w:p>
    <w:p>
      <w:r>
        <w:t>Selon l'art. 43 al. 1, 1ère phrase, LPGA il appartient à l'assureur de prendre d'office les mesures d'instruction nécessaires et de recueillir les renseignements dont il a besoin. Il sied de souligner que la loi attribue à l'administration la tâche d'éclaircir la situation de fait juridiquement déterminante selon le principe inquisitoire de façon correcte et complète de sorte que fondée sur les faits établis la décision quant aux prestations à allouer (cf. l'art. 49 LPGA) puisse être prise. Il appartient aux services médicaux régionaux (SMR) interdisciplinaires d'évaluer les conditions médicales du droit aux prestations (art. 59 al. 2 et 2bis LAI), ce qui suppose d'apprécier les capacités fonctionnelles de l'assuré de pouvoir exercer une activité lucrative ou d'accomplir ses travaux habituels dans une mesure qui peut être raisonnablement exigée de lui. Les médecins d'un service médical régional doivent, comme tout expert, disposer des compétences professionnelles nécessaires (Valterio, op. cit., n° 2596) et recourir à la documentation médicale nécessaire à leurs tâches. Fondé sur les données de son service médical, l'office AI doit déterminer le droit aux prestations. Ceci présuppose que lesdites données satisfassent aux critères jurisprudentiels de valeurs probantes requises des rapports médicaux (cf. arrêt du TF 9C_1063/2009 du 22 janvier 2010 consid. 4.2.3).</w:t>
      </w:r>
    </w:p>
    <w:p>
      <w:r>
        <w:rPr>
          <w:b/>
        </w:rPr>
        <w:t>E. 11.2</w:t>
      </w:r>
    </w:p>
    <w:p>
      <w:r>
        <w:t>En l'espèce, il appert du rapport psychiatrique du Dr E._______ du 20 août 2016 que l'intéressée se trouve dans une situation psychique particulièrement fragile. Il rapporte un trouble dépressif récurrent, épisode actuel grave sans symptôme psychotique (F33.2) aux rechutes saisonnières, note une aggravation claire depuis quelque deux ans, évoque des insomnies, une altération de l'appétit, une humeur dépressive en soirée, de l'anhédonie, des altérations mnésiques significatives, un niveau élevé d'anxiété, une baisse de l'estime de soi, un isolement social, des pleurs, une intolérance aux bruits, des vertiges, des bourdonnements, une diminution de la force physique, des idées suicidaires. Le rapport affirme clairement une incapacité pour l'intéressée d'exercer quelque activité professionnelle de façon harmonieuse et rentable. Il fait état d'une médication actuelle quotidienne d'antidépresseur, d'anxiolytique et d'aide à l'endormissement (Venlafaxima® 150mg, Amitriptilina® 25mg, Diaze-pam® 5mg, Flurazepam® 15mg). Le Dr E._______ souligne ne pas voir pour la patiente une issue clinique. Il relève un cadre tant social, du travail que familial détérioré, retenant une incapacité de travail globale et définitive supérieure à 70%. Un tel rapport psychiatrique, à moins de considérer son auteur avec de bonnes raisons avec réserve, doit être pris en compte et apprécié sur dossier en présence d'autres rapports psychiatriques et d'autres sources médicales d'égales importances et portées. Or ce rapport psychiatrique s'inscrit plausiblement dans la continuité et en aggravation des rapports des 10 et 13 avril 2013 du Dr Albuquerque, psychiatre, et de Mme C._______, psychologue clinicienne. Par ailleurs il sied de relever que le Dr F._______ dans un rapport du 26 [mois illisible] 2016, sur un formulaire de la sécurité sociale portugaise, a conclu à une incapacité de travail définitive pour toute activité et enfin que le rapport E 213 du 10 octobre 2016, que l'OAIE n'a pas soumis à son service médical pour appréciation, retient une incapacité d'exercer une activité adaptée également à temps partiel, la reconnaissance d'une invalidité totale selon la législation du pays et la non nécessité d'un nouvel examen. L'ensemble de cette documentation médicale en relation avec le fait que l'intéressée n'a pu maintenir ses activités lucratives légères ne permettait pas au service médical de l'AI et à l'OAIE ayant connaissance de la fin des rapports de travail de conclure sans le moindre doute à l'inexistence d'une incapacité de travail à compter du 1er juillet 2015 jusqu'à la date de la décision attaquée. Dès lors la décision du 25 janvier 2017 a été prise sans qu'un complet état des faits ait été établi permettant d'effectuer une appréciation complète de l'état de santé actuel de l'intéressée selon les réquisits propres aux rapports médicaux sur dossier, lesquels nécessitent un complément d'instruction s'il subsiste des doutes mêmes minimes (cf. supra consid. 7.1.1. et 7.4 et la jurisprudence citée). Il sied donc d'annuler la décision attaquée et de retourner le dossier à l'autorité inférieure (art. 61 PA; ATF 137 V 210 consid. 4.4.1.4) afin qu'elle actualise le dossier médical et qu'elle ordonne ensuite une expertise pluridisciplinaire en Suisse comprenant les volets rhumatologique, de médecine interne et psychiatrique, voire d'autres examens, et rende une nouvelle décision sur la capacité résiduelle de travail de l'intéressée à compter du 1er juillet 2015. La coordination des spécialisations est selon la pratique constante une part centrale de l'interdisciplinarité. Les experts mandatés sont en dernier lieu responsables de la qualité et complétude des rapports établis dans un cadre interdisciplinaire et des conclusions interdisciplinaires retenues mais aussi d'examens effectués selon le principe d'économicité (cf. ATF 139 V 349 consid. 3.3).</w:t>
      </w:r>
    </w:p>
    <w:p>
      <w:r>
        <w:rPr>
          <w:b/>
        </w:rPr>
        <w:t>E. 11.3</w:t>
      </w:r>
    </w:p>
    <w:p>
      <w:r>
        <w:t>Le renvoi est indiqué en l'espèce bien qu'il doive rester exceptionnel compte tenu de l'exigence de la célérité de la procédure (cf. art. 29 de la Constitution fédérale (Cst., RS 101; arrêt du TF 8C_633/2014 du 11 décembre 2014 consid. 2.2). Le Tribunal fédéral a précisé que le renvoi de l'affaire à l'autorité inférieure pour nouvelle instruction est notamment justifié lorsqu'il s'agit d'enquêter sur une situation médicale qui n'a pas encore fait l'objet d'un examen, respectivement lorsque l'autorité inférieure n'a nullement instruit une question déterminante pour l'examen du droit aux prestations ou lorsque un éclaircissement, une précision ou un complément d'expertise s'avère nécessaire (cf. ATF 137 V 210 consid. 4.4.1.4; arrêt du TF 8C_633/2014 du 11 décembre 2014 consid. 3.2 et 3.3).</w:t>
      </w:r>
    </w:p>
    <w:p>
      <w:r>
        <w:rPr>
          <w:b/>
        </w:rPr>
        <w:t>E. 12.1</w:t>
      </w:r>
    </w:p>
    <w:p>
      <w:r>
        <w:t>Selon la jurisprudence la partie qui a formé recours contre une décision en matière de prestations sociales est réputée avoir obtenu gain de cause lorsque la cause est renvoyée à l'administration pour instruction complémentaire et nouvelle décision (ATF 132 V 215 consid. 5.6).</w:t>
      </w:r>
    </w:p>
    <w:p>
      <w:r>
        <w:rPr>
          <w:b/>
        </w:rPr>
        <w:t>E. 12.2</w:t>
      </w:r>
    </w:p>
    <w:p>
      <w:r>
        <w:t>Vu l'issue du recours il n'est pas perçu de frais de procédure (art. 63 al. 2 PA).</w:t>
      </w:r>
    </w:p>
    <w:p>
      <w:r>
        <w:rPr>
          <w:b/>
        </w:rPr>
        <w:t>E. 12.3</w:t>
      </w:r>
    </w:p>
    <w:p>
      <w:r>
        <w:t>Conformément aux art. 64 al. 1 PA et 7 al. 1 du règlement du 21 février 2008 concernant les frais, dépens et indemnités fixés par le Tribunal administratif fédéral (FITAF, RS 173.320.2), le Tribunal alloue à la partie ayant obtenu gain de cause une indemnité pour les frais indispensables et relativement élevés qui lui ont été occasionnés par le litige. En matière d'assurances sociales a obtenu gain de cause la partie dont l'issue de la procédure de recours l'a placée dans une situation de droit préférable à celle résultant de la fin de la procédure administrative ou dont l'issue du recours est un renvoi à l'autorité inférieure pour complément d'instruction et nouvelle décision (ATF 117 V 401 consid. 2c, ATF 132 V 215 consid. 6.2 ; voir aussi TF 9C_846/2015 consid. 3 et 9C_654/2009 consid. 5.2). Selon l'art. 14 FITAF les parties qui ont droit au dépens et les avocats commis d'office doivent faire parvenir avant le prononcé un décompte de leurs prestations au tribunal (al. 1). A défaut de décompte, le tribunal fixe l'indemnité sur la base du dossier (al. 2, 2e phr.).</w:t>
      </w:r>
    </w:p>
    <w:p>
      <w:r>
        <w:rPr>
          <w:b/>
        </w:rPr>
        <w:t>E. 12.4</w:t>
      </w:r>
    </w:p>
    <w:p>
      <w:r>
        <w:t>En l'espèce, la recourant ayant agi par l'intermédiaire d'un mandataire professionnel n'ayant pas produit de note d'honoraires, il est alloué à la partie recourante une indemnité de dépens de 1'200.- francs à charge de l'autorité inférieure tenant compte de l'issue du recours, de l'importance et de la complexité de la cause sans égard à la valeur litigieuse, du travail effectué nécessaire et du temps consacré par le représentant du recourant.</w:t>
      </w:r>
    </w:p>
    <w:p>
      <w:r>
        <w:rPr>
          <w:b/>
        </w:rPr>
        <w:t>E. 12.5</w:t>
      </w:r>
    </w:p>
    <w:p>
      <w:r>
        <w:t>La demande d'assistance judiciaire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