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C-1464/2007 vom 8. Juli 2008</w:t>
      </w:r>
    </w:p>
    <w:p>
      <w:r>
        <w:t>Bundesverwaltungsgericht, 2008-07-08, FR</w:t>
      </w:r>
    </w:p>
    <w:p>
      <w:r>
        <w:rPr>
          <w:b/>
        </w:rPr>
        <w:t xml:space="preserve">Quelle: </w:t>
      </w:r>
      <w:r>
        <w:t>https://mcp.opencaselaw.ch/entscheid/bvger_C-1464_2007</w:t>
      </w:r>
    </w:p>
    <w:p>
      <w:r>
        <w:t>FR: TAF C-1464/2007 du 8 juillet 2008</w:t>
      </w:r>
    </w:p>
    <w:p>
      <w:r>
        <w:t>IT: TAF C-1464/2007 del 8 luglio 2008</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s'agissant d'une révision du droit à la rente en application de l'art. 17 LPGA est régi par la teneur de la LAI au moment de la décision sur opposition entreprise eu égard au principe selon lequel les règles applicables sont celles en vigueur au moment où les faits juridiquement déterminants se sont produits (ATF 130 V 445 et les références). Les dispositions citées sont celles en vigueur au 31 décembre 2007. Les dispositions de la 5ème révision de la LAI entées en vigueur le 1er janvier 2008 ne sont pas applicables.</w:t>
      </w:r>
    </w:p>
    <w:p>
      <w:r>
        <w:rPr>
          <w:b/>
        </w:rPr>
        <w:t>E. 4</w:t>
      </w:r>
    </w:p>
    <w:p>
      <w:r>
        <w:t>Conformément à l'art. 52 al. 1 LPGA, valable en matière d'assurance-invalidité jusqu'au 30 juin 2006, les décisions peuvent être attaquées dans les trente jours par voie d'opposition auprès de l'assureur qui les a rendues. Selon l'al. 2 de cette disposition, les décisions sur opposition doivent être rendues dans un délai approprié, elles sont motivées et indiquent les voies de droit. Or, l'opposition présentée par le recourant le 23 mars 2004 suite à la décision du 20 février 2004 n'a pas été traitée et l'OAIE n'a pas rendu de décision sur opposition afférente. Toutefois, par économie de procédure, il convient de considérer que la décision sur opposition du 11 avril 2005 a annulé aussi la décision du 20 février 2004.</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5.4</w:t>
      </w:r>
    </w:p>
    <w:p>
      <w:r>
        <w:t>Conformément à la lettre f des Dispositions finales de la modification du 21 mars 2003 (4ème révision de l'AI) entrée en vigueur le 1er janvier 2004, les rentes entières en cours perçues au titre d'un taux d'invalidité égal ou supérieur à 662/3% ont continué d'être versées après l'entrée en vigueur de la modification intervenue à tous les rentiers qui, à ce moment là, avaient atteint l'âge de 50 ans. Toutes les autres rentes entières perçues au titre d'une invalidité inférieure à 70% ont fait l'objet d'une révision dans le délai d'un an dès l'entrée en vigueur de la présente modification. En l'espèce, le recourant, né le 19 janvier 1955, n'avait pas atteint l'âge de 50 ans au 1er janvier 2004, c'est donc à juste titre que sa rente entière n'a pu être maintenue de lege lata avec un degré d'invalidité de 67% et qu'une procédure de révision a été engagée.</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Dans un arrêt récent le TF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7.2</w:t>
      </w:r>
    </w:p>
    <w:p>
      <w:r>
        <w:t>En l'espèce, le recourant a bénéficié d'une rente d'invalidité depuis le 1er février 1994 ensuite d'une décision du 27 mars 1996. La question de savoir si le degré d'invalidité a subi, depuis lors, une modification doit être jugée in casu en comparaison des faits tels qu'ils se présentaient à l'époque de la décision du 27 mars 1996 en regard de ceux qui ont existé à la date de la décision litigieuse du 25 janvier 2007.</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Revue à l'attention des caisses de compensation (RCC) 1991 p. 329 consid. 1c).</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10.1</w:t>
      </w:r>
    </w:p>
    <w:p>
      <w:r>
        <w:t>En 1994, le droit à la rente entière a été reconnu au recourant en raison des suites d'un accident à la main droite avec amputation des 3ème, 4ème et 5ème doigts, réimplantation des 3ème et 4ème doigts avec ostéotomie de correction avec persistance d'importantes douleurs neurogènes.</w:t>
      </w:r>
    </w:p>
    <w:p>
      <w:r>
        <w:rPr>
          <w:b/>
        </w:rPr>
        <w:t>E. 10.2</w:t>
      </w:r>
    </w:p>
    <w:p>
      <w:r>
        <w:t>Dans le cadre de la procédure de révision entreprise en 2004, l'OAIE a notamment invoqué les expertises orthopédique et neurologique effectuées en mai 2006 auprès des HUG. Les experts concluent à un diagnostic pratiquement inchangé en ce qui concerne les suites de l'accident et à une incapacité de travail totale par rapport à la précédente activité de manutentionnaire. De leur côté, les rapports médicaux produits par le recourant attestent la présence d'affections au niveau de la colonne vertebrale et confirment une totale invalidité de l'assuré dans des travaux de manutentionnaire. Les atteintes à la colonne vertebrale avaient aussi été décelées par les experts des HUG, notamment une discopathie et ostéophitose C6-C7 avec contracture musculaire paracervicale droite douloureuse à la palpation mais n'ont pas été retenues relevantes pour l'évaluation de la capacité de travail. Aussi, l'apparition d'un syndrome mixte anxio-dépressif relevé dans le rapport du Dr. G._______ n'est pas documenté par une prise en charge médicale et le rapport médical du Dr P._______ confirmant le status de l'intéressé ne remet pas en cause l'invalidité totale de l'intéressé dans des travaux de manutentionnaire ni la possibilité pour lui d'exercer une activité à temps partiel de surveillance. Le Dr P._______ s'est en effet référé à un rapport radiologique établi le 27 décembre 2004 déjà pris en compte par les médecins conseils de l'OAIE. Or, force est de constater, au vu de la documentation médicale au dossier et de l'avis des médecins des HUG et de l'OAIE, que l'intéressé, comme auparavant, ne peut exercer une activité lucrative l'obligeant à faire usage de sa main droite, et plus généralement du membre supérieur droit, mais conserve une mobilité des membres inférieurs et du corps suffisante pour exercer les activités de surveillance définies comme exigibles en 1996, prendre les moyens de transport en commun usuels pour s'y rendre, même si actuellement des dégénérescences de la colonne cervicale et lombaire affectent quelque peu sa mobilité. Selon les Drs D._______ et S._______ des HUG, le membre supérieur droit de l'intéressé, sans présenter d'amyotrophie visible, présente une péjoration du status sans explication objective avec des extensions plausibles des douleurs à l'hémicorps droit déterminant une incapacité de travail totale de type manutentionnaire mais permet toujours une activité à temps partiel de type surveillance ou gardiennage sans intervention. Cette appréciation confirme celle des Drs A._______ et C.-_______ des HUG qui, sur le plan neurologique, font état uniquement d'une atteinte à la santé limitée au membre supérieur droit tout en relevant que les seules activités envisageables sont des activités avec une seule main et qui ne demandent pas d'effort physique, la douleur chronique limitant aussi le rendement.</w:t>
      </w:r>
    </w:p>
    <w:p>
      <w:r>
        <w:rPr>
          <w:b/>
        </w:rPr>
        <w:t>E. 10.3</w:t>
      </w:r>
    </w:p>
    <w:p>
      <w:r>
        <w:t>Vu ce qui précède, le tribunal de céans peut donc confirmer que le taux d'invalidité de 67% retenu par l'OAIE demeure inchangé et que donc dès le 1er avril 2004 le recourant a droit à un trois quarts de rente d'invalidité.</w:t>
      </w:r>
    </w:p>
    <w:p>
      <w:r>
        <w:rPr>
          <w:b/>
        </w:rPr>
        <w:t>E. 11</w:t>
      </w:r>
    </w:p>
    <w:p>
      <w:r>
        <w:t>Dans le cadre de cette contestation de réduction de rente,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Meyer-Blaser, Zum Verhältnismässigkeitsgrundsatz im staatlichen Leistungsrecht, thèse, Berne 1985, p. 131). Dans ce contexte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(ATFA du 28 janvier 2005 dans la cause F. [I 175/04] consid. 3; Jurisprudence et pratique administrative des autorités d'exécution de l'AVS/AI (VSI) 1999 p. 247 consid. 1; VSI 1998 p. 296 consid. 3b).</w:t>
      </w:r>
    </w:p>
    <w:p>
      <w:r>
        <w:rPr>
          <w:b/>
        </w:rPr>
        <w:t>E. 12</w:t>
      </w:r>
    </w:p>
    <w:p>
      <w:r>
        <w:t>La décision a été rendue après le 1er juillet 2006, entrée en vigueur de l'art. 69 al. 2 LAI soumettant la procédure de recours en matière de contestations portant sur l'octroi ou le refus de prestations de l'AI devant le Tribunal administratif fédéral à des frais de procédure. Les frais de procédure, fixés à Fr. 300.-, sont mis à la charge du recourant (art. 63 al. 1 PA, applicable par le truchement de l'art. 37 LTAF). Ils sont compensés par l'avance de frais du même montant dont il s'est acquitté dans le délai. Il n'est pas alloué de dépens (art. 64 al. 1 PA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