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C-1461/2008 vom 17. März 2009</w:t>
      </w:r>
    </w:p>
    <w:p>
      <w:r>
        <w:t>Bundesverwaltungsgericht, 2009-03-17, FR</w:t>
      </w:r>
    </w:p>
    <w:p>
      <w:r>
        <w:rPr>
          <w:b/>
        </w:rPr>
        <w:t xml:space="preserve">Quelle: </w:t>
      </w:r>
      <w:r>
        <w:t>https://mcp.opencaselaw.ch/entscheid/bvger_C-1461_2008</w:t>
      </w:r>
    </w:p>
    <w:p>
      <w:r>
        <w:t>FR: TAF C-1461/2008 du 17 mars 2009</w:t>
      </w:r>
    </w:p>
    <w:p>
      <w:r>
        <w:t>IT: TAF C-1461/2008 del 17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telles notamment l'ordonnance du 14 janvier 1998 concernant l'entrée et la déclaration d'arrivée des étrangers (OEArr de 1998, RO 1998 194) abrogée par l'art. 39 de l'ordonnance du 24 octobre 2007 sur la procédure d'entrée et de visas (OPEV de 2007, RO 2007 5537) et l'ordonnance du 6 octobre 1986 limitant le nombre des étrangers (OLE de 1986, RO 1986 1791) abrogée par l'art. 91 de l'ordonnance du 24 octobre 2007 relative à l'admission, au séjour et à l'exercice d'une activité lucrative (OASA, RS 142.201).</w:t>
      </w:r>
    </w:p>
    <w:p>
      <w:r>
        <w:rPr>
          <w:b/>
        </w:rPr>
        <w:t>E. 5</w:t>
      </w:r>
    </w:p>
    <w:p>
      <w:r>
        <w:t>Dès lors que la demande qui est l'objet de la présente procédure de recours a été déposée le 2 novembre 2007, soit avant l'entrée en vigueur de la LEtr, l'ancien droit (matériel) devrait être applicable à la présente cause, conformément à la réglementation transitoire de l'art. 126 al. 1 LEtr. Il s'impose toutefois de souligner ici que, lors de la votation du 5 juin 2005, le peuple suisse a accepté l'arrêté fédéral du 17 décembre 2004 portant approbation et mise en ?uvre des accords bilatéraux d'association à l'Espace Schengen et à l'Espace Dublin (RS 362) et que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[RS 0.360.268.1]) sont entrés en vigueur pour la Suisse le 12 décembre 2008. Ainsi,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6.1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6.2</w:t>
      </w:r>
    </w:p>
    <w:p>
      <w:r>
        <w:t>Les conditions d'entrée prévues par le code frontières Schengen correspondent, pour l'essentiel, à celles posées à l'art. 1 al. 2 let. c et d OEArr. L'obligation faite à l'étranger de justifier l'objet et les conditions du séjour envisagé, telle que contenue à l'art. 5 par. 1 let. c du code frontières Schengen, n'est pas explicitement mentionnée à l'art. 1 al. 2 let. c OEArr. Cette disposition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6.3</w:t>
      </w:r>
    </w:p>
    <w:p>
      <w:r>
        <w:t>Au vu des considérations qui précèdent, l'examen de l'objet et des conditions du séjour envisagé au sens de l'art. 5 par. 1 let. c du code frontières Schengen correspond à l'examen de la garantie de sortie de Suisse au sens de l'art. 1 al. 2 let. c OEArr. Aussi la pratique et la jurisprudence appliquées à cette dernière disposition peuvent-elles être reprises.</w:t>
      </w:r>
    </w:p>
    <w:p>
      <w:r>
        <w:rPr>
          <w:b/>
        </w:rPr>
        <w:t>E. 7</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 de Maurice, C._______ est soumis à l'obligation du visa.</w:t>
      </w:r>
    </w:p>
    <w:p>
      <w:r>
        <w:rPr>
          <w:b/>
        </w:rPr>
        <w:t>E. 8</w:t>
      </w:r>
    </w:p>
    <w:p>
      <w:r>
        <w:t>Dans la décision attaquée, l'ODM a refusé d'autoriser le prénommé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disposés à quitter l'Espace Schengen à l'échéance de son séjour ou s'il apparaît, au contraire, qu'il cherche à pénétrer et à s'établir dans le territoire des Etats membres sous le couvert d'un visa pour visite familiale.</w:t>
      </w:r>
    </w:p>
    <w:p>
      <w:r>
        <w:rPr>
          <w:b/>
        </w:rPr>
        <w:t>E. 8.1</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l'article précité.</w:t>
      </w:r>
    </w:p>
    <w:p>
      <w:r>
        <w:rPr>
          <w:b/>
        </w:rPr>
        <w:t>E. 8.2</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8.3</w:t>
      </w:r>
    </w:p>
    <w:p>
      <w:r>
        <w:t>A ce sujet, il faut prendre en considération la qualité de vie et les conditions économiques et sociales difficiles que connaît l'ensemble de la population de Maurice (pays dont le taux de chômage s'élevait à 8,5% et dont le PIB par habitant était de 5'200 US dollars en 2008 [source: site internet du Ministère français des affaires étrangères &gt; France-Diplomatie &gt; Pays-zones géo &gt; Maurice; mise à jour: 18 novembre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8.4</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9</w:t>
      </w:r>
    </w:p>
    <w:p>
      <w:r>
        <w:t>En l'espèce, il ressort du dossier que C._______ est âgé de trente-trois ans, qu'il est marié et père de deux enfants et exerce un emploi de plombier au sein de l'entreprise E._______. Même s'il convient d'admettre que de tels liens peuvent, dans une certaine mesure, inciter une personne à retourner dans le pays où elle réside, ils ne sauraient, dans le cas particulier, suffire à garantir le retour du prénommé dans son pays. Le Tribunal constate en effet que, préalablement à la demande de visa de C._______, B._______ avait déjà cautionné la venue en Suisse de A._______ pour un séjour touristique de trois mois. Celui-ci n'avait toutefois pas respecté son engagement de retourner dans son pays et avait sollicité l'octroi d'une autorisation de séjour en Suisse pour y épouser B._______, autorisation qu'il a finalement obtenue après son mariage avec la prénommée. Or, A._______ s'était pourtant prévalu d'étroites attaches avec son pays, en déclarant y être père de trois enfants, en produisant une attestation de congé du même employeur que C._______ et en s'engageant par écrit à retourner dans son pays à l'échéance de son visa touristique. Dans ces circonstances, les assurances fournies par les recourants, fondées sur la situation familiale et professionnelle de C._______ à Maurice, situation qui apparaît comparable à celle de A._______ à son arrivée en Suisse, ne sont guère de nature à écarter le risque de voir le requérant tenter de s'établir à son tour dans ce pays, dans lequel résident, outre sa mère, plusieurs autres membres de sa famille. Le risque de voir l'intéressé prolonger son séjour en Suisse apparaît au demeurant confirmé par le fait que, dans son courrier du 15 janvier 2008, B._______ mentionnait que la venue en Suisse de son fils était prévue pour une période variable de trois à six mois. Or, comme relevé de manière pertinente par l'ODM dans son préavis, il est permis d'en conclure que les attaches de l'intéressé avec son pays ne sont pas aussi étroites qu'alléguées, s'il est prêt à s'en absenter pour une aussi longue période. Dans ce contexte, l'intention que peut manifester une personne de retourner dans son pays à l'issue de son séjour, voire son engagement formel à le faire, n'ont guère de force juridique (cf. arrêt du TAF C-722/2008 du 13 juin 2008 consid. 7) et ne suffisent pas à garantir que son départ interviendra dans les délais prévus, comme la précédente venue en Suisse de A._______ en a d'ailleurs été l'illustration. En conséquence, le Tribunal estime qu'il ne saurait être reproché à l'ODM d'avoir considéré que le départ de C._______ à l'échéance du visa requis n'était pas suffisamment assuré et, partant, d'avoir refusé la délivrance d'une autorisation d'entrée en Suisse en sa faveur.</w:t>
      </w:r>
    </w:p>
    <w:p>
      <w:r>
        <w:rPr>
          <w:b/>
        </w:rPr>
        <w:t>E. 10</w:t>
      </w:r>
    </w:p>
    <w:p>
      <w:r>
        <w:t>Il ressort de ce qui précède que la décision de l'ODM du 14 février 2008 est conforme au droit.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