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C-145/2016 vom 17. Mai 2017</w:t>
      </w:r>
    </w:p>
    <w:p>
      <w:r>
        <w:t>Bundesverwaltungsgericht, 2017-05-17, FR</w:t>
      </w:r>
    </w:p>
    <w:p>
      <w:r>
        <w:rPr>
          <w:b/>
        </w:rPr>
        <w:t xml:space="preserve">Quelle: </w:t>
      </w:r>
      <w:r>
        <w:t>https://mcp.opencaselaw.ch/entscheid/bvger_C-145_2016</w:t>
      </w:r>
    </w:p>
    <w:p>
      <w:r>
        <w:t>FR: TAF C-145/2016 du 17 mai 2017</w:t>
      </w:r>
    </w:p>
    <w:p>
      <w:r>
        <w:t>IT: TAF C-145/2016 del 17 maggio 2017</w:t>
      </w:r>
    </w:p>
    <w:p>
      <w:pPr>
        <w:pStyle w:val="Heading2"/>
      </w:pPr>
      <w:r>
        <w:t>Regeste</w:t>
      </w:r>
    </w:p>
    <w:p>
      <w:r>
        <w:t>Révision de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b LTAF et l'art. 69 al. 1 let. b de la loi fédérale du 19 juin 1959 sur l'assurance-invalidité (LAI, RS 831.20), des recours interjetés par des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En l'espèce, le recours est recevable quant à la forme puisqu'il a été interjeté en temps utile et dans les formes légales auprès de l'autorité judiciaire compétente par une administrée directement touchée par la décision attaquée (art. 59 et 60 LPGA et 52 PA) et que l'avance de frais ayant été payée dans le délai.</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La décision attaquée ayant été rendue le 15 décembre 2015, les dispositions légales de droit suisse en vigueur à cette date sont applicables. Par ailleurs, les éléments de fait survenus postérieurement au 15 décembre 2015 ne doivent, en principe, pas être pris en considération par le Tribunal de céans.</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Dans le cas d'espèce, la question litigieuse est le bien-fondé de la décision du 15 décembre 2015, par laquelle l'OAIE a supprimé la rente d'invalidité à compter du 1er février 2016 (AI pce 145).</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4.3</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TF I 8/04 du 12 octobre 2005 consid. 2.1; Michel Valterio, Droit de l'assurance-vieillesse et survivants et de l'assurance-invalidité, 2011, n° 3054 ss, 3065).</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TF I 532/05 du 13 juillet 2006 consid. 3; I 561/05 du 31 mars 2006 consid. 3.3; ATF 112 V 371 consid. 2b).</w:t>
      </w:r>
    </w:p>
    <w:p>
      <w:r>
        <w:rPr>
          <w:b/>
        </w:rPr>
        <w:t>E. 5.4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w:t>
      </w:r>
    </w:p>
    <w:p>
      <w:r>
        <w:rPr>
          <w:b/>
        </w:rPr>
        <w:t>E. 5.5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TF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6.1</w:t>
      </w:r>
    </w:p>
    <w:p>
      <w:r>
        <w:t>En l'occurrence, l'OAIE a fondé la décision attaquée du 15 décembre 2015 sur une amélioration de l'état de santé entre la date de la première décision de rente du 9 mai 2011 et la date de la décision litigieuse du 15 décembre 2015.</w:t>
      </w:r>
    </w:p>
    <w:p>
      <w:r>
        <w:rPr>
          <w:b/>
        </w:rPr>
        <w:t>E. 6.2</w:t>
      </w:r>
    </w:p>
    <w:p>
      <w:r>
        <w:t>Le Tribunal administratif fédéral constate que la recourante a dû se soumettre à une nouvelle opération au pied droit (arthrodèse sous-talienne) le 9 décembre 2015, soit six jours avant la décision attaquée du 15 décembre et que le Dr F._______ ayant procédé à l'opération du 9 décembre 2015 indique, dans son certificat médical du 7 janvier 2016, que les suites de l'intervention justifient une interruption de travail jusqu'au 4e mois après l'opération. Le SMR, dans sa prise de position du 16 février 2016, a reconnu que l'état de santé n'était pas stabilisé en février 2016 et ne l'était probablement pas encore en avril 2014 et qu'il convenait de préciser la capacité de travail dans une activité adaptée depuis avril 2014. Se basant sur le rapport du SMR, l'OAIE-GE, dans sa prise de position du 21 mars 2016, a indiqué qu'un complément d'instruction s'imposait, à savoir qu'il fallait demander au Dr F._______ un nouveau rapport médical complet (mentionnant l'évolution depuis avril 2015, les plaintes subjective, les constatations objectives, les limitations fonctionnelles et l'évolution de la capacité de travail dans une activité adaptée) ainsi que les rapports pré- et postopératoires depuis 2014 et les documents radiologiques de la cheville droite. Etant donné que la recourante a dû se soumettre à deux nouvelles opérations après l'expertise du Dr E._______, le Tribunal administratif fédéral estime qu'on ne peut pas se baser sur l'expertise de ce médecin pour la période allant jusqu'à fin 2013. En effet, le Dr E._______ avait évalué la situation d'une toute autre manière. Le Tribunal de céans estime que le Dr F._______ en tant qu'opérateur ne dispose pas de l'objectivité et de la neutralité nécessaires pour évaluer le résultat des opérations auxquelles il a procédé. C'est pourquoi, le Tribunal administratif fédéral considère, contrairement à l'avis du SMR, que la mise en oeuvre d'une expertise orthopédique de suivi auprès d'un expert neutre s'impose. Cet expert devra s'exprimer non seulement sur la problématique des pieds, mais également sur les troubles des épaules. Au cas où la recourante faisait valoir d'autres troubles, il faudra aussi tenir compte de ceux-ci lors de l'expertise et, le cas échéant, ne pas seulement procéder à un volet orthopédique, mais mettre en oeuvre une expertise pluridisciplinaire afin d'éviter un nouveau renvoi de la cause à l'autorité inférieure. A ce propos, il convient de préciser que les experts mandatés doivent eux-mêmes veiller à ce que les éléments sur lesquels ils se basent soient exacts et complets (ATF 139 V 349 consid. 3.2 et suivant).</w:t>
      </w:r>
    </w:p>
    <w:p>
      <w:r>
        <w:rPr>
          <w:b/>
        </w:rPr>
        <w:t>E. 6.3</w:t>
      </w:r>
    </w:p>
    <w:p>
      <w:r>
        <w:t>L'art. 61 al. 1 PA autorise, bien qu'exceptionnellement, à renvoyer la cause à l'autorité inférieure avec des instructions impératives, notamment lorsqu'elle n'a nullement instruit une question déterminante pour l'examen du droit aux prestations ou qu'un éclaircissement, une précision ou un complément des indications des experts est nécessaire (ATF 137 V 210 consid. 4.4.1.4). Dans le cas d'espèce, un renvoi à l'autorité inférieure est licite puisqu'un complément des indications des Drs E._______ et F._______ est nécessaire.</w:t>
      </w:r>
    </w:p>
    <w:p>
      <w:r>
        <w:rPr>
          <w:b/>
        </w:rPr>
        <w:t>E. 6.4</w:t>
      </w:r>
    </w:p>
    <w:p>
      <w:r>
        <w:t>Vu la décision entreprise supprimant la rente d'invalidité de la recourante, le renvoi de la cause à l'autorité inférieure ne risque pas d'entraîner pour la recourante une péjoration de la situation dans laquelle elle a été placée par la décision querellée ; dès lors, il n'est pas nécessaire de lui donner la possibilité de se déterminer sur un éventuel retrait du recours (ATF 137 V 314, consid. 3.2.4).</w:t>
      </w:r>
    </w:p>
    <w:p>
      <w:r>
        <w:rPr>
          <w:b/>
        </w:rPr>
        <w:t>E. 6.5</w:t>
      </w:r>
    </w:p>
    <w:p>
      <w:r>
        <w:t>En outre, l'autorité inférieure devra examiner si la recourante est à même de se réinsérer dans le circuit professionnel par elle-même et si sa capacité (résiduelle) de travail est exploitable, en particulier vu son âge.</w:t>
      </w:r>
    </w:p>
    <w:p>
      <w:r>
        <w:rPr>
          <w:b/>
        </w:rPr>
        <w:t>E. 6.6</w:t>
      </w:r>
    </w:p>
    <w:p>
      <w:r>
        <w:t>Au vu de ce qui précède, il convient d'admettre le recours de la recourante, d'annuler la décision attaquée et de renvoyer la cause à l'OAIE afin que celui-ci procède à un complément d'instruction et rende ensuite une nouvelle décision.</w:t>
      </w:r>
    </w:p>
    <w:p>
      <w:r>
        <w:rPr>
          <w:b/>
        </w:rPr>
        <w:t>E. 7.1</w:t>
      </w:r>
    </w:p>
    <w:p>
      <w:r>
        <w:t>Compte tenu de l'issue de la cause, il n'est pas perçu de frais de procédure (art. 63 PA) et le montant de CHF 400.- versé par la recourante à titre d'avance de frais lui est restitué.</w:t>
      </w:r>
    </w:p>
    <w:p>
      <w:r>
        <w:rPr>
          <w:b/>
        </w:rPr>
        <w:t>E. 7.2</w:t>
      </w:r>
    </w:p>
    <w:p>
      <w:r>
        <w:t>Le Tribunal administratif fédéral peut allouer à la partie qui a entièrement ou partiellement obtenu gain de cause une indemnité pour les frais indispensables et relativement élevés qui lui ont été occasionnés (art. 64 PA en combinaison avec l'art. 7 du règlement du 21 février 2008 concernant les frais, dépens et indemnités fixés par le Tribunal administratif fédéral [FITAF, RS 173. 320.2]). La recourante n'est pas représentée et n'expose pas que la cause lui ait occasionné des frais relativement élevés, de sorte qu'une indemnité de dépens ne se justifie pas.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