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C-1451/2014 vom 12. Juni 2014</w:t>
      </w:r>
    </w:p>
    <w:p>
      <w:r>
        <w:t>Bundesverwaltungsgericht, 2014-06-12, DE</w:t>
      </w:r>
    </w:p>
    <w:p>
      <w:r>
        <w:rPr>
          <w:b/>
        </w:rPr>
        <w:t xml:space="preserve">Quelle: </w:t>
      </w:r>
      <w:r>
        <w:t>https://mcp.opencaselaw.ch/entscheid/bvger_C-1451_2014</w:t>
      </w:r>
    </w:p>
    <w:p>
      <w:r>
        <w:t>FR: TAF C-1451/2014 du 12 juin 2014</w:t>
      </w:r>
    </w:p>
    <w:p>
      <w:r>
        <w:t>IT: TAF C-1451/2014 del 12 giugno 2014</w:t>
      </w:r>
    </w:p>
    <w:p>
      <w:pPr>
        <w:pStyle w:val="Heading2"/>
      </w:pPr>
      <w:r>
        <w:t>Regeste</w:t>
      </w:r>
    </w:p>
    <w:p>
      <w:r>
        <w:t>Schengen-Visum</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3</w:t>
      </w:r>
    </w:p>
    <w:p>
      <w:r>
        <w:t>Der angefochtenen Verfügung liegt das Gesuch einer Staatsangehörigen von Afghanistan um Erteilung eines Visums für einen maximal dreimonatigen Aufenthalt in der Schweiz zugrunde. Da sich die Beschwerdeführerin 1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 Gächter/Thurnherr, Stämpflis Handkommentar zum Bundesgesetz über die Ausländerinnen und Ausländer, 2010, Art. 5 N. 3 f.).</w:t>
      </w:r>
    </w:p>
    <w:p>
      <w:r>
        <w:rPr>
          <w:b/>
        </w:rPr>
        <w:t>E. 4.2</w:t>
      </w:r>
    </w:p>
    <w:p>
      <w:r>
        <w:t>Drittstaatsangehörige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5.1 Aufgrund ihrer Staatsangehörigkeit unterliegt die Beschwerdeführerin 1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 5.2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6.1 Die Beschwerdeführenden machen bezüglich der allgemeinen aktuellen Situation in Afghanistan geltend, nicht jeder Bürger aus einem (armen) Drittstaat beabsichtige, in die Schweiz zu migrieren. Solch generelle Einschätzungen und Pauschalisierungen liessen eine sorgfältige Interessensabwägung vermissen, was aber in Anbetracht des bei den Behörden liegenden Ermessens unerlässlich sei. In der Einsprache vom 13. September 2013 sei bereits geltend gemacht worden, dass noch gewisse Defizite in Afghanistan bestünden. Andererseits seien jedoch in den letzten Jahren auch Erfolge und Weiterentwicklungen eingetreten, wobei die Beschwerdeführenden auf diverse Beispiele verwiesen (Erhöhung des durchschnittlichen jährlichen Pro-Kopf-Einkommens zwischen 2002 und 2011, Rückgang der Säuglings- und Müttersterblichkeit usw.). Zwar trifft es zu, dass Afghanistan im sozialen Bereich seit 2001 zahlreiche Fortschritte aufzuweisen hat (siehe dazu: www.bmz.de &gt; was wir machen &gt; Länder &gt; Asien &gt; Afghanistan &gt; Situation und Zusammenarbeit, besucht im Mai 2014). Auch ist unbestritten, dass sich die afghanische Regierung um eine wirtschaftliche Erholung des Landes bemüht und Erfolge vorzuweisen hat. So betrug bspw. die Inflationsrate im Jahr 2012 laut Angaben des Internationalen Währungsfonds (IWF) noch 4.4%. Im Jahr zuvor waren es noch 10.4%. Zudem&lt; konnte durch den Bau von Strassen, Flughäfen sowie durch die Eröffnung der ersten afghanischen Eisenbahnstrecke die infrastrukturelle Anbindung des Landes verbessert werden. Nichtsdestotrotz ist Afghanistan nach wie vor eines der ärmsten Länder der Welt und belegt im "Human Development Index" (HDI) den 175. Platz unter 187 Staaten. Die wirtschaftliche Entwicklung Afghanistans wird trotz hoher jährlicher Wachstumsraten weiterhin nicht durch ein selbsttragendes Wirtschaftswachstum, sondern durch Zuflüsse aus der internationalen Gebergemeinschaft stimuliert. Industrieproduktion ist kaum vorhanden, 80% der Bevölkerung sind im landwirtschaftlichen Bereich tätig. Zudem gestaltet sich im ländlichen Raum die wirtschaftliche Entwicklung angesichts mangelnder Infrastruktur, fehlender Erwerbsmöglichkeiten ausserhalb der Landwirtschaft und geringen Ausbildungsstands weiterhin schwierig; der Anteil an Analphabeten liegt bei rund 90% der Gesamtbevölkerung. Nicht ausser Acht gelassen werden darf zudem auch die Menschenrechtslage in Afghanistan, die trotz der ausdrücklichen Verpflichtung Afghanistans zur Wahrung der Menschenrechte, schwierig bleibt. Dies bezieht sich insbesondere auch auf die Lage der Frauen, ist doch die gesellschaftliche Akzeptanz der Frauenrechte nach wie vor gering ausgeprägt. Ursachen hierfür sind tradierte Rollenvorstellungen, mangelndes Rechtsverständnis in der Bevölkerung und bei den Behörden sowie nicht selten mangelnde Bereitschaft von Justiz und Strafverfolgungsbehörden, geltende Gesetze zum Schutz von Frauenrechten anzuwenden und durchzusetzen (Quelle: www.auswaertiges-amt.de, Länder, Reise und Sicherheit &gt; Afghanistan &gt; Wirtschaft sowie Innenpolitik, Stand November 2013 bzw. Dezember 2013, besucht im Mai 2014). Mit diesen Ausführungen ist nicht erstaunlich, dass Afghanistan im Jahr 2013 mit 892 Asylgesuchen in der Schweiz an sechster Stelle der Herkunftsstaaten stand (Quelle: www.bfm.admin.ch, Dokumentation, Zahlen und Fakten &gt; Asylstatistik &gt; Jahresstatistiken &gt;Kommentierte Asylstatistik 2013). 6.2 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allgemeinen Erfahrungen können beim Entscheid über die Erteilung eines Visums mit berücksichtigt werden, sodass bei Personen, die in ihrer Heimat keine besonderen Verpflichtungen haben, das Risiko für ein ausländerrechtlich nicht regelkonformes Verhalten (nach bewilligter Einreise zu einem Besuchsaufenthalt) hoch eingeschätzt werden muss. 6.3 Bei der Risikoanalyse sind somit sowohl die allgemeinen Umstände und Erfahrungen wie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7.1 Gemäss den Akten handelt es sich bei der Beschwerdeführerin 1 um eine 40jährige, ledige und kinderlose Frau, die in Kabul im Haushalt ihres Bruders lebt. Dort sei sie in dessen Familie integriert (vgl. Beschwerde vom 19. März 2014). Die Beschwerdeführenden machen diesbezüglich geltend, diese Ausführungen allein würden nicht schon den Schluss zulassen, die Beschwerdeführerin 1 sei in ihrem Heimatland nicht verwurzelt und nicht im System eingebettet; in Afghanistan sei es normal, dass 80% der Frauen nicht arbeiteten, beziehungsweise nicht ausserhalb des Hauses erwerbstätig seien (vgl. Beschwerde vom 19. März 2014). Zwar gilt es diesen Vorbringen grundsätzlich zuzustimmen, allerdings lassen weder die beschwerdeweisen gemachten Aussagen noch die Akten den Schluss zu, dass die Beschwerdeführerin tatsächlich unabdingbar für die Familie des Bruders sei bzw. ob ihr familiäre Pflichten obliegen, welche nur durch sie selber abgedeckt werden könnten. Der blosse Umstand, dass die Beschwerdeführerin 1 für ihren Bruder den Haushalt erledigt, reicht hingegen nicht aus, um eine (gegenseitige) Abhängigkeit zu begründen, die besondere Gewähr für eine Rückkehr ins Heimatland bieten könnte. 7.2 Des Weiteren wird ausgeführt, die Beschwerdeführerin 1 verwalte zusammen mit ihrem Bruder das vom Vater geerbte Land. Sie lebe von den Pachtzinsen, welche sie damit einnehme. Diese Einnahmen kämen zwar nicht in einem regelmässigen Turnus, reichten aber für die Bestreitung des Lebensunterhaltes. Der Pachtzins werde von den Bauern jeweils in bar überbracht. Damit habe die Beschwerdeführerin 1 - obwohl sie keiner Erwerbstätigkeit ausser Haus nachgehe - sehr wohl ein geregeltes Einkommen. Sie lebe in einer wirtschaftlich stabilen Situation und nicht etwa an der Armutsgrenze. Im Gegenteil, sie sei als Landeigentümerin (Miteigentümerin mit dem Bruder) in einer eher besseren Position als der Durchschnitt der Afghanen. Die Vorinstanz wendet diesbezüglich ein, es würden keine Dokumente vorliegen, welche die aktuelle wirtschaftliche Situation der Beschwerdeführerin 1 belegen könnten (vgl. Verfügung vom 13. Februar 2014). Dagegen halten die Beschwerdeführenden an, in Afghanistan sei es überaus kompliziert, die Bestätigung des Landeigentums bei den Behörden einzuholen; man müsse diverse administrative Massnahmen ergreifen. Aus der Übersetzung der Bestätigung der Identität und des Wohnortes der Beschwerdeführerin 1 sei aber zu entnehmen, dass das Haus, in dem sie wohne, Eigentum ihres in Afghanistan lebenden Bruders sei. Vorliegend kann hingegen nicht davon ausgegangen werden, die Einholung einer Bestätigung bezüglich Landeigentums wäre a priori schon deshalb nicht zumutbar, weil es gewisse administrative Massnahmen zu bestreiten gäbe, zumal keine näheren Angaben über die Art der Massnahmen gemacht werden. Es kann jedoch offen gelassen werden, ob es den Beschwerdeführenden überhaupt zuzumuten wäre, solche einzuleiten, ergibt sich doch aus den Akten nicht, inwiefern die Beschwerdeführerin 1 zur Verwaltung des geerbten Landes unabdingbar sei. Vielmehr legt die Dauer des angestrebten Aufenthalts in der Schweiz von zwei bis drei Monaten den Schluss nahe, die Präsenz der Beschwerdeführerin sei nicht unverzichtbar. 7.3 Weiter wird beschwerdeweise geltend gemacht, der in Afghanistan lebende Bruder habe seit dem 26. Februar 1991 eine Anstellung als "[...]" bei der "Z.___" in Afghanistan und beziehe ein monatliches Salär von Netto USD 865.00. Die Beschwerdeführerin 1 wähne sich damit in finanziell geordneten Verhältnissen und sei mithin Teil einer reichen afghanischen Familie. Sie habe es nicht nötig, aus wirtschaftlichen Gründen ins Ausland zu flüchten (vgl. Beschwerde vom 19. März 2014, Arbeitsbestätigung vom 10. März 2014 sowie Lohnabrechnung der "Z.____"). Zwar ist davon auszugehen, dass sich der Bruder der Beschwerdeführenden tatsächlich in guten finanziellen Verhältnissen befindet, belief sich doch das jährliche Bruttonationaleinkommen in Afghanistan im Jahr 2012 auf USD 680.00(https://www.destatis.de/DE/ZahlenFakten/LaenderRegionen/Internationales/Thema/Tabellen/Basistabelle_BNE.html).Nichtsdestotrotz kann auch dieser Umstand nicht darüber hinweg täuschen, dass vorliegend gerade nicht aufgezeigt werden konnte, dass die Beschwerdeführerin 1 tatsächlich eng in die Familie ihres Bruders eingebettet ist. Auch erscheint sie für die Verwaltung des geerbten Landes nicht unabdingbar. Vor dem Hintergrund der fehlenden Verantwortungen in beruflicher, gesellschaftlicher und familiärer Hinsicht durfte die Vorinstanz - unter zusätzlicher Beachtung des Migrationshintergrundes ihres in der Schweiz lebenden Bruders und dessen Ehefrau sowie der allgemein schwierigen Lage in Afghanistan und insbesondere der Frauen (vgl. dazu E. 6.1) davon ausgehen, die Rückreise der Beschwerdeführerin 1 sei nach Beendigung ihres Besuchsaufenthalts nicht hinreichend gewährleistet.</w:t>
      </w:r>
    </w:p>
    <w:p>
      <w:r>
        <w:rPr>
          <w:b/>
        </w:rPr>
        <w:t>E. 8</w:t>
      </w:r>
    </w:p>
    <w:p>
      <w:r>
        <w:t>Daran vermag auch der Umstand nichts zu ändern, dass der Gastgeber über genügend Einkommen und Vermögen verfügt und eine Garantieerklärung vorliegt (vgl. Beschwerde vom 19. März 2014 und Formular "Ergänzung zur Verpflichtungserklärung" vom 16. Januar 2014). In seiner Eigenschaft als Gastgeber kann der Beschwerdeführer 2 zwar für gewisse finanzielle Risiken (Lebensunterhaltskosten während des Besuchsaufenthaltes, allfällig ungedeckte Kosten für Unfall oder Krankheit sowie Rückreisekosten) Garantie leisten, nicht aber - mangels rechtlicher und faktischer Durchsetzbarkeit - für ein bestimmtes Verhalten des Gastes (vgl. dazu BVGE 2009/27 E. 9). Diesbezüglich kann auch der gute Leumund des Gastgebers - der vorliegend nicht in Frage gestellt wird - nichts daran ändern.</w:t>
      </w:r>
    </w:p>
    <w:p>
      <w:r>
        <w:rPr>
          <w:b/>
        </w:rPr>
        <w:t>E. 9</w:t>
      </w:r>
    </w:p>
    <w:p>
      <w:r>
        <w:t>Fehlt es an einer genügenden Gewähr für die fristgerechte Wiederausreise, so kann ein sogenanntes "einheitliches Visum", das für den gesamten Schengen-Raum gilt, nicht erteilt werden. Hingegen bleibt zu prüfen, ob die Voraussetzungen für die Ausstellung eines Visums mit räumlich beschränkter Gültigkeit vorliegen (vgl. E. 4.5). Ein solches kann erteilt werden, wenn ein Mitgliedstaat es aus humanitären Gründen, aus Gründen des nationalen Interesses oder aufgrund internationaler Verpflichtungen für erforderlich hält. Die damit einhergehende Abweichung von den allgemeinen Einreisevoraussetzungen erfordert eine sorgfältige Abwägung der sich gegenüberstehenden Interessen, die nicht leichthin zur Erteilung eines auf nationales Hoheitsgebiet beschränkten Visums führen darf (vgl. BVGE 2011/48 E. 6.1).</w:t>
      </w:r>
    </w:p>
    <w:p>
      <w:r>
        <w:rPr>
          <w:b/>
        </w:rPr>
        <w:t>E. 9.1</w:t>
      </w:r>
    </w:p>
    <w:p>
      <w:r>
        <w:t>Diesbezüglich wenden die Beschwerdeführenden ein, hinter dem gewünschten Kurzaufenthalt stehe einzig und allein die Absicht der Beschwerdeführerin 1, ihren Bruder und seine Familie (insbesondere die Kinder), besuchen zu können und einmal deren Heimat zu sehen. Zudem sei in seinen Rechten nach Art. 8 EMRK tangiert, wer über Verwandte und Freunde in der Schweiz verfüge und die Einreise verweigert werde (vgl. Beschwerde vom 19. März 2014).</w:t>
      </w:r>
    </w:p>
    <w:p>
      <w:r>
        <w:rPr>
          <w:b/>
        </w:rPr>
        <w:t>E. 9.2</w:t>
      </w:r>
    </w:p>
    <w:p>
      <w:r>
        <w:t>Art. 8 EMRK dient dem Schutz des Familien- und Privatlebens, aus dem sich bei bestimmten familiären Konstellationen eine völkerrechtliche Verpflichtung zur Visumserteilung ableiten lässt (vgl. dazu BVGE 2011/48 E. 6.3.2). Auf die Teilgarantie des Familienlebens können sich namentlich ausländische Personen berufen, die nahe Familienangehörige mit hinreichend gefestigtem Anwesenheitsrecht in der Schweiz haben, sofern das Familienleben intakt ist und gelebt wird. Wird ihnen die Einreise oder der Aufenthalt verweigert, so kann darin eine Verletzung von Art. 8 EMRK liegen. Die Konventionsgarantie schützt allerdings nur das Familienleben als solches, nicht aber die freie Wahl des für den Aufbau und die Führung des Familienlebens günstigsten Ortes. Ein Eingriff in den Schutzbereich des Familienlebens wird erst angenommen, wenn sich die Betroffenen in keinem anderen Staat treffen können und der persönliche Kontakt deshalb nur in der Schweiz möglich wäre (vgl. Urteil des BVGer C-879/2012 vom 11. Juni 2013 E. 9.3 m.H.). In diesem Fall wäre das private Interesse der Beschwerdeführerin 1 an einer persönlichen Begegnung in der Schweiz gewichtiger als das öffentliche Interesse an der Einhaltung der Einreisevorschriften.</w:t>
      </w:r>
    </w:p>
    <w:p>
      <w:r>
        <w:rPr>
          <w:b/>
        </w:rPr>
        <w:t>E. 9.3</w:t>
      </w:r>
    </w:p>
    <w:p>
      <w:r>
        <w:t>Zweifellos dürften für den Beschwerdeführer 2 und dessen Familie der Aufenthalt in Afghanistan - wie beschwerdeweise geltend gemacht - mit unverhältnismässig hohen Risiken verbunden sein, wird doch vor Reisen nach Afghanistan dringend gewarnt (vgl. www.auswaertiges-amt.de, Reise und Sicherheit &gt; Reisewarnungen &gt; Afghanistan: Reisewarnung, Stand: 13. Mai 2014, besucht im Mai 2014). Hingegen ist es den Gastgebern, welche über das Schweizer Bürgerrecht verfügen, grundsätzlich möglich, das Treffen in einem Drittstaat zu organisieren. Auch können die Beziehungen mittels moderner Kommunikationsmittel gepflegt werden. Dass die Beschwerdeführerin 2 einmal die zweite Heimat ihres Bruders sehen möchte ist verständlich, kann aber an dieser Stelle nicht entscheidwesentlich sein. Insgesamt überwiegen die geltend gemachten privaten Interessen im vorliegenden Fall das öffentliche Interesse an der Einhaltung der Einreisevorschriften nicht. Die Ausstellung von Visa mit räumlich beschränkter Gültigkeit aufgrund von völkerrechtlichen Verpflichtungen der Schweiz kommt daher nicht in Frage. Auch sind keine humanitären Gründe ersichtlich, welche die Ausstellung solcher Visa erlauben würden.</w:t>
      </w:r>
    </w:p>
    <w:p>
      <w:r>
        <w:rPr>
          <w:b/>
        </w:rPr>
        <w:t>E. 10</w:t>
      </w:r>
    </w:p>
    <w:p>
      <w:r>
        <w:t>Aus vorstehenden Erwägungen folgt, dass die angefochtene Verfügung im Lichte von Art. 49 VwVG nicht zu beanstanden ist. Die Beschwerde ist daher abzuweisen.</w:t>
      </w:r>
    </w:p>
    <w:p>
      <w:r>
        <w:rPr>
          <w:b/>
        </w:rPr>
        <w:t>E. 11</w:t>
      </w:r>
    </w:p>
    <w:p>
      <w:r>
        <w:t>Entsprechend dem Ausgang des Verfahrens werden die unterliegenden Beschwerdeführenden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