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C-1451/2011 vom 9. Februar 2012</w:t>
      </w:r>
    </w:p>
    <w:p>
      <w:r>
        <w:t>Bundesverwaltungsgericht, 2012-02-09, FR</w:t>
      </w:r>
    </w:p>
    <w:p>
      <w:r>
        <w:rPr>
          <w:b/>
        </w:rPr>
        <w:t xml:space="preserve">Quelle: </w:t>
      </w:r>
      <w:r>
        <w:t>https://mcp.opencaselaw.ch/entscheid/bvger_C-1451_2011</w:t>
      </w:r>
    </w:p>
    <w:p>
      <w:r>
        <w:t>FR: TAF C-1451/2011 du 9 février 2012</w:t>
      </w:r>
    </w:p>
    <w:p>
      <w:r>
        <w:t>IT: TAF C-1451/2011 del 9 febbraio 2012</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 /72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L'objet du litige selon la décision attaquée du 11 février 2011 est le bien-fondé, suite à la révision du droit à la rente, de la suppression avec effet au 1er avril 2011 de la demi-rente d'invalidité perçue par l'intéressé depuis le 1er septembre 2007, par décision initiale du 16 octobre 2008 de l'OAI-BS, au motif d'une amélioration significative de son état de santé. Le droit applicable est celui de la 5ème révision de l'assurance-invalidité entrée en vigueur le 1er janvier 2008. Les dispositions de la 6ème révision (premier volet) en vigueur depuis le 1er janvier 2012 (RO 2011 5659, FF 2010 1647) ne sont pas applicables.</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les ressortissants suisses et de l'Union européenne qui présentent un degré d'invalidité de 40% au moins, ont droit à un quart de rente en application de l'art. 28 al. 2 LAI à partir du 1er juin 2002 s'ils ont leur domicile et leur résidence habituelle dans un Etat membre de l'UE (ATF 130 V 253 consid. 2.3).</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5.2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5.3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5.4</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(arrêt du Tribunal fédéral I 532/05 du 13 juillet 2006 consid. 3; I 561/05 du 31 mars 2006 consid. 3.3; ATF 112 V 371 consid. 2b).</w:t>
      </w:r>
    </w:p>
    <w:p>
      <w:r>
        <w:rPr>
          <w:b/>
        </w:rPr>
        <w:t>E. 5.5</w:t>
      </w:r>
    </w:p>
    <w:p>
      <w:r>
        <w:t>Le Tribunal fédéral a par ailleurs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 ATF 125 V 369 consid. 2 et ATF 112 V 372 consid. 2). En l'espèce, l'octroi de la demi-rente par décision du 16 octobre 2008 de l'OAIE est la base de comparaison avec la décision de suppression du 11 février 2011 de ce même office.</w:t>
      </w:r>
    </w:p>
    <w:p>
      <w:r>
        <w:rPr>
          <w:b/>
        </w:rPr>
        <w:t>E. 6.1</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115 V 133 consid. 2, 114 V 310 consid. 3c; arrêt du Tribunal fédéral I 599/2004 du 28 juillet 2005 consid. 1.2).</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traitants spécialement mandatés pour étayer un dossier médical (cf. dans ce sens relativement aux expertises de parties: arrêt du Tribunal fédéral 8C_558/2008 du 17 mars 2009 consid. 2.4.2). Toutefois le simple fait qu'un certificat médical est établi à la demande d'une partie et est produit pendant la procédure ne justifie pas en soi des doutes quant à sa valeur probante (ATF 125 V 353 consid. 3b/dd et les références citées).</w:t>
      </w:r>
    </w:p>
    <w:p>
      <w:r>
        <w:rPr>
          <w:b/>
        </w:rPr>
        <w:t>E. 8.1</w:t>
      </w:r>
    </w:p>
    <w:p>
      <w:r>
        <w:t>En l'espèce, l'intéressé s'est trouvé en incapacité de travail à 100% depuis le 26 septembre 2006 essentiellement pour des rachialgies documentées ne lui permettant objectivement plus d'exercer son ancienne activité de gypsier. Par décision du 16 octobre 2008, soit près de 10 mois après l'intervention chirurgicale de janvier 2008 du dos, il fut mis au bénéfice d'une demi-rente d'invalidité au motif d'un taux d'invalidité de 55% établi par la comparaison de revenus résultant d'une activité légère simple et répétitive à mi-temps tous secteurs confondus avec celle précédemment exercée. Par la suite l'intéressé développa notamment un cancer de la prostate et un syndrome réactionnel lié à ses atteintes à la santé et au fait de ne pas retrouver un emploi avec les conséquences économiques liées. Il peut cependant être admis au vu des expertises oncologiques et psychiatrique qu'en mars 2010 (date énoncée par l'administration pour retenir un état de santé consolidé amélioré) lesdites atteintes n'avaient respectivement plus et pas d'incidence sur la capacité de travail résiduelle de l'intéressé affecté des seules atteintes de type rhumatologique.</w:t>
      </w:r>
    </w:p>
    <w:p>
      <w:r>
        <w:rPr>
          <w:b/>
        </w:rPr>
        <w:t>E. 8.2</w:t>
      </w:r>
    </w:p>
    <w:p>
      <w:r>
        <w:t>Il appert du dossier que les experts ont retenu, indépendamment de l'atteinte oncologique et psychiatrique, aussi une amélioration de l'état de santé de l'intéressé sur le plan rhumatologique 8 mois après l'intervention chirurgicale de janvier 2008 suivie d'une incapacité totale. Dans le cadre de l'expertise du BEGAZ du 5 juillet 2010 il a été relevé une sensible amélioration de l'état de santé de l'intéressé sur le plan rhumatologique au sens de l'art. 17 LPGA lui permettant d'exercer théoriquement une activité légère à 80%. D'ailleurs, déjà le rapport du 30 mai 2008 avait permis de retenir une amélioration de ce point de vue. La documentation médicale fournie par le recourant ne permet pas de mettre en doute l'appréciation de l'autorité inférieure, ce d'autant que le dernier rapport médical fourni par le Dr C._______ daté du 25 février 2011 ne fait état que des atteintes connues et des traitements suivis et précise, ce qui n'est pas contesté, que l'intéressé n'est plus en mesure d'effectuer des travaux pénibles dans le bâtiment. Sa dernière remarque selon laquelle son état de santé justifierait une aggravation de son taux d'invalidité n'est pas en adéquation avec le rapport médical établi et ne saurait être retenue. Il appert donc que sur un plan purement médico-théorique il peut être retenu depuis mars 2010 une capacité de travail de 80% dans une activité légère adaptée.</w:t>
      </w:r>
    </w:p>
    <w:p>
      <w:r>
        <w:rPr>
          <w:b/>
        </w:rPr>
        <w:t>E. 8.3</w:t>
      </w:r>
    </w:p>
    <w:p>
      <w:r>
        <w:t>L'instruction de l'autorité inférieure est toutefois incomplète. L'intéressé au jour de la décision entreprise avait presque 63 ans et a été au bénéfice d'une rente d'invalidité depuis le 1er septembre 2007. Selon la jurisprudence, une rente AI octroyée à un assuré âgé de plus de 55 ans ou pendant plus de 15 ans ne saurait être réduite ou supprimée sans que la capacité de travail résiduelle médico-théorique mise en évidence sur le plan médical soit objectivement confirmée. Il est en particulier nécessaire d'examiner si la réintégration dans le marché du travail doit être précédée d'une mesure de réintégration et/ou de réadaptation, sauf s'il apparaît que la personne assurée serait capable de réintégrer le marché du travail par ses propres moyens (arrêts du Tribunal fédéral 9C_368/2010 du 31 janvier 2011 consid. 5.2.2.2 et 9C_163/2009 du 10 septembre 2010 consid. 4.2.2.). Or, en l'espèce un tel examen fait défaut. Le fait que l'expertise BEGAZ ne l'ait pas préconisé (cf. pce 47 p. 25) ne saurait être suivi vu l'incidence économique de la nouvelle capacité de travail médico-théorique retenue. Par ailleurs, s'agissant de l'exigibilité de l'activité de substitution, l'autorité inférieure n'a pas pris en compte d'abattement dans la décision attaquée et s'est limitée à relever dans la réponse au recours que par hypothèse un abattement de 10% n'aurait pas d'incidence sur le droit à la rente. Un tel abattement ne permet pas de remplacer une analyse approfondie des mesures de réadaptation et/ou réintégration à entreprendre avant la reprise d'une activité lucrative. En outre, on peut douter de la pertinence d'une réduction de seulement 10% (le maximum étant de 25%, cf. ATF 126 V 75), alors que l'assuré est âgé de près de 63 ans et inactif depuis plus de 4 ans. Il n'est toutefois pas possible de se prononcer en l'espèce sur cet abattement, étant donné que la réintégration dans le marché du travail n'a pas été examinée par l'autorité inférieure.</w:t>
      </w:r>
    </w:p>
    <w:p>
      <w:r>
        <w:rPr>
          <w:b/>
        </w:rPr>
        <w:t>E. 8.4</w:t>
      </w:r>
    </w:p>
    <w:p>
      <w:r>
        <w:t>Il s'ensuit de ce qui précède que la décision du 11 février 2011 de supprimer la demi-rente repose sur une instruction lacunaire. La décision attaquée doit donc être annulée. L'art. 61 al. 1 PA autorise, bien qu'exceptionnellement, à renvoyer la cause à l'autorité inférieure avec des instructions impératives, notamment lorsqu'elle n'a nullement instruit une question déterminante pour l'examen du droit aux prestations (ATF 137 V 210 consid. 4.4.1.4). En l'espèce, le renvoi se justifie parce qu'il manque un examen de la capacité de réintégrer le marché du travail (cf. consid. 8.3). En ces circonstances, le recours du 1er mars 2011 doit être admis, en ce sens que la décision du 11 février 2011 doit être annulée et la cause renvoyée à l'autorité inférieure qui rendra une nouvelle décision après avoir complété l'instruction.</w:t>
      </w:r>
    </w:p>
    <w:p>
      <w:r>
        <w:rPr>
          <w:b/>
        </w:rPr>
        <w:t>E. 9.1</w:t>
      </w:r>
    </w:p>
    <w:p>
      <w:r>
        <w:t>Le recourant ayant eu partiellement gain de cause, il n'est pas perçu de frais de procédure (art. 63 PA) et l'avance de frais fournie de 400 francs lui est restituée intégralement (cf. ATF 132 V 215 consid. 6.2).</w:t>
      </w:r>
    </w:p>
    <w:p>
      <w:r>
        <w:rPr>
          <w:b/>
        </w:rPr>
        <w:t>E. 9.2</w:t>
      </w:r>
    </w:p>
    <w:p>
      <w:r>
        <w:t>Le recourant ayant agi en étant représenté, il lui est alloué une indemnité globale de dépens de 500 francs à charge de l'autorité inférieure (art. 64 al. 1 PA et art. 7 ss du règlement du 21 février 2008 concernant les frais, dépens et indemnités fixés par le Tribunal administratif fédéral [FITAF, RS 173.320.2]), compte tenu de l'issue du recours, de la difficulté de la cause ainsi que du travail effectué par le représentant.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