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C-1450/2013 vom 23. Oktober 2013</w:t>
      </w:r>
    </w:p>
    <w:p>
      <w:r>
        <w:t>Bundesverwaltungsgericht, 2013-10-23, FR</w:t>
      </w:r>
    </w:p>
    <w:p>
      <w:r>
        <w:rPr>
          <w:b/>
        </w:rPr>
        <w:t xml:space="preserve">Quelle: </w:t>
      </w:r>
      <w:r>
        <w:t>https://mcp.opencaselaw.ch/entscheid/bvger_C-1450_2013</w:t>
      </w:r>
    </w:p>
    <w:p>
      <w:r>
        <w:t>FR: TAF C-1450/2013 du 23 octobre 2013</w:t>
      </w:r>
    </w:p>
    <w:p>
      <w:r>
        <w:t>IT: TAF C-1450/2013 del 23 ottobre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et B._______ ont qualité pour recourir, étant donné qu'ils ont participé à la procédure devant l'ODM, qu'ils sont spécialement atteints par la décision querellée et ont un intérêt digne de protection à son annulation, leur souhait de pouvoir accueillir C._______ en Suisse demeurant actuel.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et ATAF 2009/27 consid. 3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op.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colombien, C._______ est soumis à l'obligation du visa.</w:t>
      </w:r>
    </w:p>
    <w:p>
      <w:r>
        <w:rPr>
          <w:b/>
        </w:rPr>
        <w:t>E. 5</w:t>
      </w:r>
    </w:p>
    <w:p>
      <w:r>
        <w:t>Dans la décision querellée, l'ODM a refusé d'autoriser l'entrée en Suisse de C._______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en Colombie sur le plan social, économique et sécuritaire. Malgré le fait que la Colombie connaît depuis de longues années une croissance forte (moyenne de 3% durant les trente dernières années) et s'est dotée de solides fondamentaux macroéconomiques, le niveau de pauvreté du pays reste élevé (45%), ainsi que celui d'indigence (17,5%), notamment en raison de l'existence de plus de 3 millions de personnes déplacées du fait de la violence. En outre, le taux de chômage, bien qu'en baisse, est structurellement élevé en Colombie (10% en 2012) et l'emploi informel concerne plus de 40% de la population active. Quant au produit intérieur brut (PIB), il reste modeste avec environ 7'800 USD par habitant en 2012, contre environ 79'000 USD pour la Suisse (cf. le site internet du Ministère français des affaires étrangères, France diplomatie : www.diplomatie.gouv.fr &gt; dossiers pays &gt; Colombie &gt; Présentation de la Colombie et le site internet du Fonds monétaire international : www.imf.org &gt; Data and Statistics &gt; World Economic Outlook Databases (WEO) &gt; World Economic Outlook Databases April 2013 &gt; By Countries [country-level data] &gt; All countries, consultés en septembre 2013). En outre, l'indice de développement humain (IDH) 2012, qui prend en compte la santé, l'éducation et le niveau de vie, classe la Colombie en 91ième position sur 186 pays, et la Suisse en 9ième position pour la même année (voir le site internet des rapports sur le développement humain du Programme des Nations Unies pour le développement [HDR UNDP] : http//hdr.undp.org &gt; Indices &amp; Data &gt; Human development index 2012, consulté en septembre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de la mère et du beau-père de l'intéressé.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 plaide en faveur de sa sortie ponctuelle de Suisse, respectivement de l'Espace Schengen, au terme du séjour envisagé.</w:t>
      </w:r>
    </w:p>
    <w:p>
      <w:r>
        <w:rPr>
          <w:b/>
        </w:rPr>
        <w:t>E. 6.1</w:t>
      </w:r>
    </w:p>
    <w:p>
      <w:r>
        <w:t>S'agissant de la situation personnelle et familiale de C._______, le Tribunal constate qu'il est étudiant, célibataire et vit avec son père à Salento, dans la région de Quindio. L'intéressé bénéficie ainsi d'attaches familiales importantes en Colombie. Le Tribunal estime toutefois que celles-ci ne sont pas à ce point déterminantes qu'elles soient susceptibles de le dissuader, à elles seules, de prolonger son séjour en Suisse au-delà du terme du visa. A ce propos, il convient de noter que le prénommé ne dispose pas de responsabilités familiales, telles que la présence d'enfants dont il devrait assurer l'éducation ou de parents qui souffriraient de problèmes de santé nécessitant son soutien au quotidien.</w:t>
      </w:r>
    </w:p>
    <w:p>
      <w:r>
        <w:rPr>
          <w:b/>
        </w:rPr>
        <w:t>E. 6.2</w:t>
      </w:r>
    </w:p>
    <w:p>
      <w:r>
        <w:t>A l'appui de leur pourvoi, les recourants ont en particulier souligné le fait que C._______ souhaitait poursuivre ses études en Colombie et n'avait par conséquent nullement l'intention de prolonger son séjour en Suisse au-delà de la durée du visa requis. Cela étant, le fait que C._______ ait changé d'orientation et qu'il se soit inscrit auprès d'une autre université cet été constitue un indice permettant de retenir que la formation entamée par le prénommé dans son pays d'origine ne représente pas une attache susceptible de garantir son retour en Colombie. En outre, le Tribunal relève qu'il ressort du formulaire de demande de visa ainsi que de la réservation des billets d'avion que l'intéressé avait l'intention de séjourner en Suisse du 17 décembre 2012 au 15 mars 2013, alors que selon le calendrier universitaire de l'Université de Quindio, auprès de laquelle l'intéressé était inscrit au moment du dépôt de sa demande de visa, ainsi que selon les affirmations des recourants (cf. leur écrit du 13 août 2013), les cours recommençaient déjà au mois de février 2013 (cf. le site web de l'Université de Quindio: http://portal.uniquindio.edu.co/uniquindio/ &gt; Estudiantes &gt; Calendario académico, consulté en septembre 2013). Cet élément tend également à démontrer que l'investissement de C._______ dans ses études n'est pas suffisamment important pour permettre au Tribunal de considérer sa sortie ponctuelle de Suisse comme assurée.</w:t>
      </w:r>
    </w:p>
    <w:p>
      <w:r>
        <w:rPr>
          <w:b/>
        </w:rPr>
        <w:t>E. 6.3</w:t>
      </w:r>
    </w:p>
    <w:p>
      <w:r>
        <w:t>Par ailleurs, au vu des pièces du dossier, il n'apparaît pas que la situation financière et patrimoniale de l'intéressé soit susceptible de le dissuader de prolonger son séjour sur le territoire helvétique au-delà de l'échéance du visa requis.</w:t>
      </w:r>
    </w:p>
    <w:p>
      <w:r>
        <w:rPr>
          <w:b/>
        </w:rPr>
        <w:t>E. 6.4</w:t>
      </w:r>
    </w:p>
    <w:p>
      <w:r>
        <w:t>Enfin, c'est ici le lieu de noter que le fait que les recourants aient sollicité, dans leur réplique du 1er juillet 2013, que C._______ soit mis au bénéfice d'un visa Schengen d'une durée d'un mois au lieu des trois mois qui avaient été demandés lors de la demande de visa initiale, ne saurait modifier cette appréciation, dans la mesure où il ne permet pas de tenir le retour du prénommé dans son pays d'origine pour garanti.</w:t>
      </w:r>
    </w:p>
    <w:p>
      <w:r>
        <w:rPr>
          <w:b/>
        </w:rPr>
        <w:t>E. 6.5</w:t>
      </w:r>
    </w:p>
    <w:p>
      <w:r>
        <w:t>Tenant compte des éléments qui précèdent, le Tribunal ne saurait retenir que l'intéressé ne serait pas en mesure de prolonger son séjour sur le territoire helvétique à l'échéance de son visa, voire d'envisager une nouvelle existence dans ce pays et ne saurait dès lors reprocher à l'ODM d'avoir confirmé le refus d'autorisation d'entrée dans l'Espace Schengen.</w:t>
      </w:r>
    </w:p>
    <w:p>
      <w:r>
        <w:rPr>
          <w:b/>
        </w:rPr>
        <w:t>E. 7</w:t>
      </w:r>
    </w:p>
    <w:p>
      <w:r>
        <w:t>Le Tribunal relève par ailleurs que le désir exprimé par les recourants, au demeurant parfaitement compréhensible, d'accueillir C._______ en Suisse, ne constitue pas à lui seul un motif justifiant l'octroi d'un visa en faveur du prénommé, à propos duquel il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Par ailleurs, les recourants n'ont pas invoqué de raisons susceptibles de justifier la délivrance d'un visa à validité territoriale limitée (cf. consid. 4.4 ci-avant). Dans ce contexte, il convient de relever que le refus d'autorisation d'entrée prononcé à l'endroit de C._______ ne constitue pas une ingérence inadmissible dans l'exercice du droit au respect de la vie privée et familiale consacré par l'art. 8 de la Convention du 4 novembre 1950 de sauvegarde des droits de l'homme et des libertés fondamentales (CEDH, RS 0.101).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 Cela étant, il n'y a pas atteinte à la vie familiale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Tribunal administratif fédéral C-4852/2011 précité, ibid. et les références citées). Or, en l'occurrence, rien ne permet de penser que les intéressés se trouveraient durablement dans l'impossibilité de se rencontrer ailleurs qu'en Suisse. A cela s'ajoute que les contacts pourront également être maintenus par d'autres moyens tels que la communication téléphonique, les visioconférences et la correspondance.</w:t>
      </w:r>
    </w:p>
    <w:p>
      <w:r>
        <w:rPr>
          <w:b/>
        </w:rPr>
        <w:t>E. 10</w:t>
      </w:r>
    </w:p>
    <w:p>
      <w:r>
        <w:t>Enfin, c'est ici le lieu de rappeler qu'afin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(sur la notion de discrimination, cf. ATF 134 I 49 consid. 3.1 et la jurisprudence citée).</w:t>
      </w:r>
    </w:p>
    <w:p>
      <w:r>
        <w:rPr>
          <w:b/>
        </w:rPr>
        <w:t>E. 11</w:t>
      </w:r>
    </w:p>
    <w:p>
      <w:r>
        <w:t>Compte tenu des considérants exposés ci-dessus, le Tribunal estime qu'il ne saurait être reproché à l'ODM d'avoir refusé la délivrance d'une autorisation d'entrée dans l'Espace Schengen en faveur de C._______. Il s'ensuit que, par sa décision du 15 février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