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C-1450/2009 vom 28. Juni 2010</w:t>
      </w:r>
    </w:p>
    <w:p>
      <w:r>
        <w:t>Bundesverwaltungsgericht, 2010-06-28, DE</w:t>
      </w:r>
    </w:p>
    <w:p>
      <w:r>
        <w:rPr>
          <w:b/>
        </w:rPr>
        <w:t xml:space="preserve">Quelle: </w:t>
      </w:r>
      <w:r>
        <w:t>https://mcp.opencaselaw.ch/entscheid/bvger_C-1450_2009</w:t>
      </w:r>
    </w:p>
    <w:p>
      <w:r>
        <w:t>FR: TAF C-1450/2009 du 28 juin 2010</w:t>
      </w:r>
    </w:p>
    <w:p>
      <w:r>
        <w:t>IT: TAF C-1450/2009 del 28 giugno 2010</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329 E. 2.3). Die Frage, ob die SAK die Berechnung der Altersrente des Beschwerdeführers, inklusive die Einkommensteilung mit seiner früheren Ehefrau, korrekt durchgeführt hat, beurteilt sich somit grundsätzlich nach den im April 2007 (Eintritt des Versicherungsfalles) gültigen Bestimmungen des AHVG und der Verordnung über die Alters- und Hinterlassenenversicherung vom 31. Oktober 1947 (AHVV, SR 831.101).</w:t>
      </w:r>
    </w:p>
    <w:p>
      <w:r>
        <w:rPr>
          <w:b/>
        </w:rPr>
        <w:t>E. 2.2</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vom 4. April 2005 [H 13/05] E. 1.1). Daraus folgt, dass die Verwaltung und im Beschwerdefall das Gericht den Leistungsanspruch des Beschwerdeführers gemäss Art. 3 Abs. 1 der Koordinierungsverordnung (EWG) Nr. 1408/71 (SR 0.831.109.268.1) grundsätzlich nach den für schweizerische Staatsangehörige geltenden Regeln zu beurteilen haben. Demnach bestimmt sich vorliegend der Anspruch des Beschwerdeführers auf eine Rente der Alters- und Hinterlassenenversicherung nach dem internen schweizerischen Recht.</w:t>
      </w:r>
    </w:p>
    <w:p>
      <w:r>
        <w:rPr>
          <w:b/>
        </w:rPr>
        <w:t>E. 3</w:t>
      </w:r>
    </w:p>
    <w:p>
      <w:r>
        <w:t>Vorliegend ist strittig und vom Bundesverwaltungsgericht zu prüfen, ob die SAK die Rente des Beschwerdeführers korrekt ermittelt hat respektive ob sie zu Recht gemeinsame Ehejahre mit B._______ berücksichtigt und ein Einkommenssplitting vorgenommen hat.</w:t>
      </w:r>
    </w:p>
    <w:p>
      <w:r>
        <w:rPr>
          <w:b/>
        </w:rPr>
        <w:t>E. 3.1.1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3.1.2</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3.1.3</w:t>
      </w:r>
    </w:p>
    <w:p>
      <w:r>
        <w:t>Gemäss Art. 1a Abs. 1 lit. a AHVG sind natürliche Personen mit Wohnsitz in der Schweiz obligatorisch versichert. Gemäss Art. 13 Abs. 1 ATSG bestimmt sich der Wohnsitz einer Person nach den Artikeln 23-26 des Zivilgesetzbuches (ZGB, SR 210). Der Wohnsitz einer Person befindet sich an dem Orte, wo sie sich mit der Absicht des dauernden Verbleibens aufhält (Art. 23 Abs. 1 ZGB). Es müssen somit zwei Kriterien kumulativ erfüllt sein: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(Daniel Staehelin, in: Basler Kommentar, Zivilgesetzbuch I, 3. Aufl., Basel 2006, N. 5 zu Art. 23 ZGB). Nicht massgebend ist, ob sie eine fremdenpolizeiliche Niederlassungs- oder Aufenthaltsbewilligung besitzt (BGE 133 V 309 E. 3.1, 125 V 76 E. 2a mit Hinweisen). Der Wohnsitz bleibt an diesem Ort bestehen, solange nicht anderswo ein neuer begründet wird (Art. 24 Abs. 1 ZGB).</w:t>
      </w:r>
    </w:p>
    <w:p>
      <w:r>
        <w:rPr>
          <w:b/>
        </w:rPr>
        <w:t>E. 3.1.4</w:t>
      </w:r>
    </w:p>
    <w:p>
      <w:r>
        <w:t>Art. 29quinquies AHVG ist seit dem 1. Januar 1997 in Kraft. Gemäss lit. c der Schlussbestimmungen der Änderung vom 7. Oktober 1994 (10. AHV-Revision) gelten die neuen Bestimmungen für alle Renten, auf die der Anspruch nach dem 31. Dezember 1996 entsteht (Abs. 1).</w:t>
      </w:r>
    </w:p>
    <w:p>
      <w:r>
        <w:rPr>
          <w:b/>
        </w:rPr>
        <w:t>E. 3.2</w:t>
      </w:r>
    </w:p>
    <w:p>
      <w:r>
        <w:t>Aufgrund der vorliegenden Akten hat das Bundesverwaltungsgericht keinen Anlass anzunehmen, die SAK sei bei der Berechnung der Rente des Beschwerdeführers von einer falschen Rentenskala oder einem unzutreffenden Einkommen ausgegangen. Zu prüfen bleibt, ob das Einkommenssplitting korrekt durchgeführt worden ist. Gemäss der Mitteilung vom 29. August 2008 (act. 62) einer kontenführenden Ausgleichskasse in Zürich wurden die Einkommen der Jahre 1988 bis 1990 gesplittet. Dieses Splitting wurde gestützt auf die Auskunft der Einwohnerkontrolle M._______ vom 3. Januar 2008 (act. 52) durchgeführt, welche bestätigte, dass B._______ vom 1. Juni 1988 bis zum 31. März 1990 in der Gemeinde wohnhaft gewesen sei. Anlässlich des Beschwerdeverfahrens hat der Beschwerdeführer eine Bescheinigung über den Versicherungsverlauf von B._______ in Deutschland eingereicht. Daraus ist ersichtlich, dass diese vom 1. Dezember 1988 bis zum 14. Oktober 1989 und vom 8. Januar 1990 bis zum 31. Dezember 1990 in Deutschland Versicherungszeiten oder diesen gleichgestellte Zeiten zurückgelegt hat. Ferner ist der vom Beschwerdeführer eingereichten Bescheinigung der Stadt W._______ vom 2. März 2009 zu entnehmen, dass B._______ vom 1. Februar 1989 bis zum 12. Februar 1990 in W._______ gemeldet war. Allerdings wurde dieser Bestätigung von der Auskunft erteilenden Behörde zusätzlich folgende Angabe beigefügt: "Eine Gewähr für die Richtigkeit dieser Auskunft übernehme ich nicht." Der Beschwerdeführer räumt ein, B._______ sei ungefähr bis September 1988 in der Schweiz gewesen. Diese Aussage lässt sich zudem mit den obgenannten Dokumenten stützen, weshalb davon auszugehen ist, dass B._______ im Jahr 1988 in der Schweiz Wohnsitz hatte. Die genaue Ermittlung der Monate ist - wie erwähnt - nicht erforderlich, da es für die Durchführung des Splittings keine Rolle spielt, ob die Ehegatten während derselben Monate des betreffenden Jahres in der AHV versichert waren (vgl. E. 3.1.2, zweiter Absatz). Die SAK hat somit zu Recht ein Einkommenssplitting für das Jahr 1988 vorgenommen. Unklar bleibt allerdings, ob B._______ auch in den Jahren 1989 und 1990 in der Schweiz Wohnsitz hatte, weil sich die Wohnsitzbescheinigungen und die Angaben betreffend Versicherungsverlauf widersprechen. Ferner gilt zu beachten, dass solche Bescheinigungen nur Hinweise für das Begründen eines Wohnsitzes liefern. Herrscht Unklarheit, sei es weil keine amtlichen Bestätigungen vorhanden sind, oder weil sich diese - wie vorliegend - widersprechen und zum Teil nur mit Vorbehalt ausgestellt wurden, so ist der Wohnsitz im Sinne des Gesetzes aufgrund der persönlichen Umstände (Wohnsitz der Familie, des Lebenspartners, der Kinder etc.) zu ermitteln. Es ist nach heutigem Wissensstand somit nicht mit dem im Sozialversicherungsrecht erforderlichen Beweisgrad der überwiegenden Wahrscheinlichkeit davon auszugehen, dass B._______ in den Jahren 1989 und 1990 Wohnsitz in der Schweiz hatte. Die SAK hätte daher weitere Abklärungen (z.B. Anfrage bei der Steuerbehörde oder bei B._______) tätigen müssen, um den effektiven Wohnsitz im Sinne der obgenannten Ausführungen (vgl. E. 3.1.3) zu bestimmen. Die Beschwerde ist in diesem Sinne gutzuheissen und zur weiteren Abklärung des massgebenden Sachverhalts gemäss den vorstehenden Erwägungen und zum anschliessenden Erlass einer neuen Verfügung an die SAK zurückzuweisen.</w:t>
      </w:r>
    </w:p>
    <w:p>
      <w:r>
        <w:rPr>
          <w:b/>
        </w:rPr>
        <w:t>E. 4.1</w:t>
      </w:r>
    </w:p>
    <w:p>
      <w:r>
        <w:t>Das Verfahren ist für die Parteien kostenlos (Art. 85bis Abs. 2 AHVG), so dass keine Verfahrenskosten zu erheben sind.</w:t>
      </w:r>
    </w:p>
    <w:p>
      <w:r>
        <w:rPr>
          <w:b/>
        </w:rPr>
        <w:t>E. 4.2</w:t>
      </w:r>
    </w:p>
    <w:p>
      <w:r>
        <w:t>Eine Rückweisung gilt praxisgemäss als Obsiegen der beschwerdeführenden Partei (BGE 132 V 215 E. 6). Da dem obsiegenden Beschwerdeführer, welcher nicht vertreten war, keine unverhältnismässig grossen Kosten entstanden sind und dieser zu Recht auch keinen entsprechenden Antrag gestellt hat,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