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C-1449/2012 vom 13. Dezember 2012</w:t>
      </w:r>
    </w:p>
    <w:p>
      <w:r>
        <w:t>Bundesverwaltungsgericht, 2012-12-13, DE</w:t>
      </w:r>
    </w:p>
    <w:p>
      <w:r>
        <w:rPr>
          <w:b/>
        </w:rPr>
        <w:t xml:space="preserve">Quelle: </w:t>
      </w:r>
      <w:r>
        <w:t>https://mcp.opencaselaw.ch/entscheid/bvger_C-1449_2012</w:t>
      </w:r>
    </w:p>
    <w:p>
      <w:r>
        <w:t>FR: TAF C-1449/2012 du 13 décembre 2012</w:t>
      </w:r>
    </w:p>
    <w:p>
      <w:r>
        <w:t>IT: TAF C-1449/2012 del 13 dicembre 2012</w:t>
      </w:r>
    </w:p>
    <w:p>
      <w:pPr>
        <w:pStyle w:val="Heading2"/>
      </w:pPr>
      <w:r>
        <w:t>Regeste</w:t>
      </w:r>
    </w:p>
    <w:p>
      <w:r>
        <w:t>Rente</w:t>
      </w:r>
    </w:p>
    <w:p>
      <w:pPr>
        <w:pStyle w:val="Heading2"/>
      </w:pPr>
      <w:r>
        <w:t>Erwägungen</w:t>
      </w:r>
    </w:p>
    <w:p>
      <w:r>
        <w:rPr>
          <w:b/>
        </w:rPr>
        <w:t>E. 4</w:t>
      </w:r>
    </w:p>
    <w:p>
      <w:r>
        <w:t>Strittig und zu prüfen ist nachfolgend, ob die Vorinstanz die durch das Bundesgericht zugesprochene Nachzahlung von Fr. 140.-- zuzüglich Zinsen von 5% zu Recht umgerechnet in Euro auf das Konto der Beschwerdeführerin in Slowenien überwiesen hat. Unbestritten blieb - wie die SAK zu Recht festgestellt hat - die Höhe des Nachzahlungsbetrages inklusive der berechneten Zinsen.</w:t>
      </w:r>
    </w:p>
    <w:p>
      <w:r>
        <w:rPr>
          <w:b/>
        </w:rPr>
        <w:t>E. 4.1</w:t>
      </w:r>
    </w:p>
    <w:p>
      <w:r>
        <w:t>Vorab ist festzustellen, dass das Bundesgericht in seinem Entscheid 9C_777/2010 nicht festgelegt hat, in welcher Währung und auf welches Konto die zugesprochene Nachzahlung zu erfolgen hat; daher ist die Nachzahlung grundsätzlich - entgegen der Behauptung der Beschwerdeführerin - als korrekt zu betrachten, sofern sie gemäss den allgemeinen Zahlungsregeln erfolgt ist. Ob diese vorliegend eingehalten worden sind, ist nachfolgend zu prüfen.</w:t>
      </w:r>
    </w:p>
    <w:p>
      <w:r>
        <w:rPr>
          <w:b/>
        </w:rPr>
        <w:t>E. 4.2</w:t>
      </w:r>
    </w:p>
    <w:p>
      <w:r>
        <w:t>Gemäss Urteil des Bundesgerichts ist die Vorinstanz berechtigt, die Rente (zum Umrechnungskurs am Tag der Zahlung) in der Währung des Wohnsitzstaates des Versicherten, das heisst vorliegend in Euro, zu bezahlen. Ferner hat die Versicherte die Möglichkeit, die Rente in Schweizer Franken auf einem Konto in der Schweiz entgegenzunehmen. Die mit der Umrechnung in eine Fremdwährung einhergehenden Spesen gehen zu Lasten der SAK, und die Beschwerdeführerin hat lediglich die von ihrer eigenen Bank in Rechnung gestellten Spesen zu tragen, da diese ihre Ursache nicht in der Umrechnung an und für sich haben, sondern mit der von ihr gewählten Zahladresse kausal sind (9C_777/2010 E. 3.7, 3.10 und 4.3).</w:t>
      </w:r>
    </w:p>
    <w:p>
      <w:r>
        <w:rPr>
          <w:b/>
        </w:rPr>
        <w:t>E. 4.3</w:t>
      </w:r>
    </w:p>
    <w:p>
      <w:r>
        <w:t>In casu ist somit nicht zu beanstanden, dass die Vorinstanz die Beschwerdeführerin aufgefordert hat, ihr ein Konto in der Schweiz oder im Ausland anzugeben. Entgegen der Ansicht der Beschwerdeführerin ist die SAK allerdings weder berechtigt noch verpflichtet, für die Beschwerdeführerin ein Konto in der Schweiz zu eröffnen. Die SAK hat der Beschwerdeführerin deshalb mit Schreiben vom 29. September 2009 (SAK-act. 75) eine "letzte Frist bis am 19. Oktober 2011" zur Angabe einer Bankverbindung gesetzt, ansonsten sie die Nachzahlung in Euro auf das Konto in Slowenien überweisen werde. Die Beschwerdeführerin hat zwar mit Schreiben vom 18. Oktober 2011 innert Frist reagiert (gemäss Track &amp; Trace der Post erfolgten die Aufgabe am 18. Oktober 2011 und die Zustellung am 19. Oktober 2011; vgl. Art. 21 Abs. 1 VwVG), aber sie hat in ihrem Schreiben keine Bankverbindung angegeben, sondern erneut um eine Fristerstreckung ersucht. Da die Beschwerdeführerin weder im erwähnten Schreiben noch in der darauffolgenden Korrespondenz eine Zahladresse angegeben hat, kann vorliegend offengelassen werden, ob die SAK zu Recht bereits am 21. Oktober 2011 verfügt und ausbezahlt hat, hätte doch die Vorinstanz auch bei längerem Zuwarten über keine näheren Angaben in Bezug auf die neue Zahladresse verfügt. Da auch die Umrechnung des Nachzahlbetrags in Euro von der Beschwerdeführerin nicht beanstandet wird, ist zusammenfassend festzuhalten, dass die Zahlung korrekt erfolgte und die Beschwerde daher abzuweisen ist, soweit darauf einzutreten ist.</w:t>
      </w:r>
    </w:p>
    <w:p>
      <w:r>
        <w:rPr>
          <w:b/>
        </w:rPr>
        <w:t>E. 5</w:t>
      </w:r>
    </w:p>
    <w:p>
      <w:r>
        <w:t>Nachfolgend ist über allfällige Kosten und Parteientschädigungen zu befinden.</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Die obsiegende SAK hat als Bundesbehörde keinen Anspruch auf Parteientschädigung (Art. 7 Abs. 3 des Reglements vom 21. Februar 2008 über die Kosten und Entschädigungen vor dem Bundesverwaltungsgericht [VGKE, SR 173.320.2]). Der unterliegenden Beschwerdeführerin ist entsprechend dem Ausgang des Verfahrens keine Parteientschädigung zuzusprechen (Art. 64 Abs. 1 VwVG e contrario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