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C-1446/2012 vom 3. September 2012</w:t>
      </w:r>
    </w:p>
    <w:p>
      <w:r>
        <w:t>Bundesverwaltungsgericht, 2012-09-03, FR</w:t>
      </w:r>
    </w:p>
    <w:p>
      <w:r>
        <w:rPr>
          <w:b/>
        </w:rPr>
        <w:t xml:space="preserve">Quelle: </w:t>
      </w:r>
      <w:r>
        <w:t>https://mcp.opencaselaw.ch/entscheid/bvger_C-1446_2012</w:t>
      </w:r>
    </w:p>
    <w:p>
      <w:r>
        <w:t>FR: TAF C-1446/2012 du 3 septembre 2012</w:t>
      </w:r>
    </w:p>
    <w:p>
      <w:r>
        <w:t>IT: TAF C-1446/2012 del 3 settembre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(art. 1 al. 2 LTAF en relation avec l'art. 83 let. c ch. 1 de la loi du 17 juin 2005 sur le Tribunal fédéral [LTF ;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et de droit régnant au moment où elle statue (ATAF 2011/1 consid. 2 p. 4).</w:t>
      </w:r>
    </w:p>
    <w:p>
      <w:r>
        <w:rPr>
          <w:b/>
        </w:rPr>
        <w:t>E. 3.1</w:t>
      </w:r>
    </w:p>
    <w:p>
      <w:r>
        <w:t>L'interdiction d'entrée, qui permet d'empêcher l'entrée ou le retour en Suisse d'un étranger dont le séjour y est indésirable, est réglée à l'art. 67 LEtr. Une nouvelle teneur de cet article, résultant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Cela dit,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w:t>
      </w:r>
    </w:p>
    <w:p>
      <w:r>
        <w:rPr>
          <w:b/>
        </w:rPr>
        <w:t>E. 3.2</w:t>
      </w:r>
    </w:p>
    <w:p>
      <w:r>
        <w:t>Il convient donc d'examiner si, dans le cas d'espèce, les éléments de fait pris en compte par l'ODM tombent sous le coup de la nouvelle disposition correspondante sans que l'application de cette dernière soit prohibée par le principe de non-rétroactivité. Dans ce contexte, il y a lieu de tenir compte de la nouvelle limite fixée à cinq ans pour la durée maximale de l'interdiction d'entrée, sauf menace grave pour la sécurité et l'ordre publics (art. 67 al. 3 LEtr). La décision querellée du 24 mai 2011 est fondée sur l'alinéa 2 let. a du nouvel art. 67 LEtr pour des faits qui se sont déroulés sous l'ancien droit. Par ailleurs, la durée de ladite mesure est supérieure à cinq ans. Il paraît utile de rappeler ici que l'art. 13 de la fédérale sur le séjour et l'établissement des étrangers du 26 mars 1931 (LSEE, RS 1 113) ne prévoyait pas une durée limitée de la mesure d'éloignement pour les étrangers indésirables, tout comme, d'ailleurs, l'ancienne version de l'art. 67 al. 3 LEtr dans les cas graves. Le nouvel art. 67 al. 3 LEtr prévoit, quant à lui, une durée de la mesure plus longue que cinq ans lorsque la personne concernée constitue (comme c'est le cas en l'espèce - cf. infra) une menace grave pour la sécurité et l'ordre publics. Même si la terminologie est différente dans la nouvelle version de l'art. 67 al. 3 LEtr, cette différence n'implique pas que l'autorité ne peut pas prononcer une mesure d'éloignement d'une durée supérieure à cinq ans, pour autant que les circonstances du cas le justifient. Cette adaptation sémantique n'emporte toutefois aucune modification de la teneur au fond de la nouvelle disposition par rapport à l'ancien art. 67 al. 3 LEtr, et à l'art. 13 LSEE. Aussi, l'application du nouveau droit aux éléments de fait ne pose pas de problème de rétroactivité proprement dite dans le cas d'espèce.</w:t>
      </w:r>
    </w:p>
    <w:p>
      <w:r>
        <w:rPr>
          <w:b/>
        </w:rPr>
        <w:t>E. 4.1</w:t>
      </w:r>
    </w:p>
    <w:p>
      <w:r>
        <w:t>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(Message du Conseil fédéral du 8 mars 2002 concernant la loi sur les étrangers, FF 2002 3564, ad art. 61 du projet de loi).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w:t>
      </w:r>
    </w:p>
    <w:p>
      <w:r>
        <w:t>L'interdiction d'entrée permet d'empêcher l'entrée ou le retour en Suisse (et dans l'Espace Schengen [cf. arrêt du Tribunal administratif fé­déral 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(Message du Conseil fédéral précité, FF 2002 3568, ad art. 66 du projet de loi ; voir aussi l'ATAF 2008/24 consid. 4.2). L'autorité compétente examine selon sa libre appréciation si une interdiction d'entrée doit être prononcée. Elle doit donc procéder à une pondération méticuleuse de l'ensemble des intérêts en présence et respecter le principe de la proportionnalité (Andreas Zünd/ Ladina Arquint Hill, Beendigung der Anwesenheit, Entfernung und Fernhaltung, in Uebersax/ Rudin/ Hugi Yar/ Geiser [Hrsg.], Ausländerrecht, 2ème éd., Bâle 2009, ch. 8.80, p. 356).</w:t>
      </w:r>
    </w:p>
    <w:p>
      <w:r>
        <w:rPr>
          <w:b/>
        </w:rPr>
        <w:t>E. 4.4</w:t>
      </w:r>
    </w:p>
    <w:p>
      <w:r>
        <w:t>Lorsqu'une décision d'interdiction d'entrée au sens de l'art. 67 LEtr est prononcée à l'endroit, comme en l'espèce, d'une personne non-ressortissante de l'un des Etats parties aux Accords d'association à Schengen (lesquels sont énumérés à l'annexe 1 chiffre 1 de la LEtr), cette personne - conformément aux art. 94 par. 1 et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frontières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w:t>
      </w:r>
    </w:p>
    <w:p>
      <w:r>
        <w:rPr>
          <w:b/>
        </w:rPr>
        <w:t>E. 5.1</w:t>
      </w:r>
    </w:p>
    <w:p>
      <w:r>
        <w:t>En l'espèce, A._______ a été condamné, en 2008, à soixante jours-amende avec sursis et un délai d'épreuve de trois ans pour "avoir, à Genève, été interpellé dans un appartement dans lequel était dissimulés environ 80 grammes de cocaïne conditionnés pour la vente ainsi que de fortes sommes d'argent, et [...] avoir été observé en train de vendre de la cocaïne à un toxicomane" et "avoir vendu entre mai et août 2008, à Genève, régulièrement de la marijuana réalisant un bénéfice hebdomadaire d'environ CHF 250.- à CHF 300.-" (ordonnance de condamnation du juge d'instruction du canton de Genève du 28 août 2008 p. 1). En 2010, il a récidivé. Ainsi, après révocation du précédent sursis, il a été condamné à une peine privative de liberté de trois cents jours pour avoir été "[p]ris en flagrant délit de possession de 40 boulettes de cocaïne destinées à la vente, en ayant conditionné 60 au total au début du mois de janvier 2010 pour un poids total de 50 grammes, sur lesquelles il avait déjà vendu 20 boulettes, et reconnaissant un trafic de cette substance durant le mois de janvier 2010 jusqu'à son interpellation dans la nuit du 16 au 17 janvier 2010..." (jugement du Tribunal de police de Genève du 11 mars 2010 p. 3).</w:t>
      </w:r>
    </w:p>
    <w:p>
      <w:r>
        <w:rPr>
          <w:b/>
        </w:rPr>
        <w:t>E. 5.2</w:t>
      </w:r>
    </w:p>
    <w:p>
      <w:r>
        <w:t>En commettant les infractions précitées, le recourant a, sans conteste, contrevenu à l'ordre et la sécurité publics au sens de l'art. 67 al. 2 let. a LEtr. La décision d'interdiction d'entrée dont est recours s'avère donc parfaitement justifiée dans son principe, ce que semble admettre le recourant (réplique du 11 juillet 2012 p. 2).</w:t>
      </w:r>
    </w:p>
    <w:p>
      <w:r>
        <w:rPr>
          <w:b/>
        </w:rPr>
        <w:t>E. 6.1</w:t>
      </w:r>
    </w:p>
    <w:p>
      <w:r>
        <w:t>Il convient encore d'examiner si cette mesure, prononcée pour une durée de dix ans, satisfait aux principes de proportionnalité et d'égalité de traitement.</w:t>
      </w:r>
    </w:p>
    <w:p>
      <w:r>
        <w:rPr>
          <w:b/>
        </w:rPr>
        <w:t>E. 6.2</w:t>
      </w:r>
    </w:p>
    <w:p>
      <w:r>
        <w:t>Lorsque l'autorité administrative prononce une interdiction d'entrée, elle doit en effet respecter les principes susmentionnés et s'interdire tout arbitraire (André Grisel, Traité de droit administratif, vol. I, Neuchâtel 1984, p. 339ss, 348ss, 358ss et 364ss ; Blaise Knapp, Précis de droit ad­ministratif, Bâle/Francfort-sur-le-Main 1991, p. 103ss, 113ss et 124ss ; cf. ci-dessus, consid. 4.3,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C-7645/2010 du 31 août 2011, consid. 7.2 et les références citées).</w:t>
      </w:r>
    </w:p>
    <w:p>
      <w:r>
        <w:rPr>
          <w:b/>
        </w:rPr>
        <w:t>E. 6.3</w:t>
      </w:r>
    </w:p>
    <w:p>
      <w:r>
        <w:t>Comme déjà relevé, A._______ a été condamné une première fois, le 28 août 2008, à une peine pécuniaire de soixante jours-amende avec sursis pour avoir dissimulé quatre-vingts grammes de cocaïne conditionnée pour la vente et en avoir vendu à un toxicomane et pour avoir vendu régulièrement de la marijuana entre mai et août 2008. Le 11 mars 2010, il s'est à nouveau rendu coupable d'infraction à la LStup pour avoir, deux mois plus tôt, conditionné soixante boulettes de cocaïne à la vente, en avoir possédé quarante et en avoir vendu vingt. Le sursis prononcé le 28 août 2008 a été révoqué et une peine d'ensemble de trois cents jours d'emprisonnement ferme a été prononcée à son égard. Objectivement, ces actes revêtent une certaine gravité, même si l'infraction qualifiée de l'art. 19 al. 2 LStup, selon sa teneur en vigueur jusqu'au 30 juin 2011, n'a pas été retenue (à noter que la substance du nouvel art. 19 LStup, en vigueur depuis le 1er juillet 2011, ne diffère pas, pour l'essentiel, de son ancienne version [voir à ce propos la Feuille fédérale FF 2006 8178]). En effet, selon une pratique constante, il y a lieu de se montrer particulièrement rigoureux à l'égard des ressortissants étrangers qui sont mêlés de près ou de loin au trafic de drogue, sévérité qui est partagée par la Cour européenne des droits de l'homme (ATF 125 II 521 consid. 4a/aa p. 526s.; arrêts du Tribunal administratif fédéral C-5193/2011 du 10 août 2012 consid. 6.2 et C-861/2009 du 16 août 2010 consid. 4.1).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2C_19/2011 du 27 septembre 2011 consid. 4.1 ; arrêt du Tribunal administratif fédéral C-3911/2011 du 8 juin 2012 consid. 7.2 et jurisprudence citée).</w:t>
      </w:r>
    </w:p>
    <w:p>
      <w:r>
        <w:rPr>
          <w:b/>
        </w:rPr>
        <w:t>E. 6.4</w:t>
      </w:r>
    </w:p>
    <w:p>
      <w:r>
        <w:t>Selon le jugement pénal du 11 mars 2010 (p. 4), la faute commise par le recourant a été considérée comme grave, "eu égard à la quantité totale de cocaïne vendue et les mesures prises pour la vendre, sur à peine plus de 2 semaines, soit près de 50 grammes." A ce propos, le tribunal de police a également relevé que l'intéressé "ne s'[était] arrêté dans son activité coupable que parce que la police [avait] mis fin à son trafic par son interpellation", que "[f]orce [était] ainsi de constater que le trafic du prévenu [avait] été intense", "qu'[i]l n'allait apparemment pas lui-même au contact des toxicomanes, préférant laisser ce risque à un tiers, dans le souci bien compris de ne pas être reconnu par ses clients en cas d'enquête." Par ailleurs, A._______ n'a agi que par appât du gain, ce qui constitue une circonstance aggravante (cf. arrêt du Tribunal fédéral 2C_117/2012 du 11 juin 2012 consid. 4.5.1), et est récidiviste. Malgré les regrets exprimés par le prénommé et sa collaboration à l'enquête, le sursis lui a été refusé.</w:t>
      </w:r>
    </w:p>
    <w:p>
      <w:r>
        <w:rPr>
          <w:b/>
        </w:rPr>
        <w:t>E. 6.5</w:t>
      </w:r>
    </w:p>
    <w:p>
      <w:r>
        <w:t>Pour les motifs exposés aux considérants 6.3 et 6.4 ci-dessus, et contrairement à l'avis du recourant, on ne saurait reprocher à l'autorité intimée d'avoir estimé que celui-ci constituait une menace grave pour la sécurité et l'ordre publics au sens de l'art. 67 al. 3, 2e phrase LEtr justifiant une mesure d'interdiction d'entrée d'une durée supérieure à cinq ans.</w:t>
      </w:r>
    </w:p>
    <w:p>
      <w:r>
        <w:rPr>
          <w:b/>
        </w:rPr>
        <w:t>E. 6.6</w:t>
      </w:r>
    </w:p>
    <w:p>
      <w:r>
        <w:t>S'agissant de son intérêt privé à rester en Suisse, l'intéressé invoque, dans son recours, sa volonté de s'intégrer et produit une copie de l'inscription à des cours de français à l'Université ouvrière de Genève qui débuteront en septembre 2012. Le fait de s'être "trouvé embrigadé dans un réseau de trafiquants de drogue", vu l'interdiction de travailler dont il faisait l'objet et "pour pouvoir se nourrir correctement" (recours p. 6), alors qu'il bénéficiait de l'aide sociale (cf. déclarations à la police judiciaire genevoise du 20 août 2008 p. 3), ne saurait que faire douter de la volonté d'intégration du recourant. Au surplus, la dissimulation de son lieu de résidence aux autorités suisses depuis le 18 août 2010 (cf. let. E supra), et le refus de quitter la Suisse malgré le délai qui lui avait été imparti à cet effet, ne sauraient plaider en sa faveur. Compte tenu de l'absence de réseau familial de A._______ en Suisse, du peu d'attache qu'il a avec ce pays et de son comportement depuis son arrivée sur territoire helvétique (trafic de drogue et refus de quitter la Suisse), son intérêt privé à pouvoir revenir ou rester dans ce pays ne saurait, dans ces conditions, être considéré comme prépondérant par rapport à l'intérêt public à son éloignement pour une durée prolongée.</w:t>
      </w:r>
    </w:p>
    <w:p>
      <w:r>
        <w:rPr>
          <w:b/>
        </w:rPr>
        <w:t>E. 6.7</w:t>
      </w:r>
    </w:p>
    <w:p>
      <w:r>
        <w:t>Quant au principe ne bis in idem invoqué par le recourant - et qui figure depuis le 1er janvier 2011 à l'art. 11 al. 1 du code de procédure pénale suisse du 5 octobre 2007 [code de procédure pénale, CPP, RS 312.0] -, il ne saurait trouver application en l'espèce. En effet, il relève du droit pénal fédéral et interdit qu'une personne jugée (condamnée ou acquittée) pénalement soit poursuivie une nouvelle fois par une juridiction pénale, même sous une qualification juridique différente (ATF 125 II 402 consid. 1b p. 404s. ; arrêt du TF 6B_1029/2010 du 18 avril 2011 consid. 1.1). Or, une interdiction d'entrée, qui est prononcée par une autorité administrative, ne constitue pas une peine sanctionnant un comportement déterminé, mais une mesure (administrative) de contrôle visant à prévenir une atteinte à la sécurité et à l'ordre publics en empêchant l'étranger concerné de revenir sur le territoire helvétique à l'insu des autorités suisses (ATAF 2008/24 précité et consid. 4.3 supra ; arrêt du TAF C-135/2006 du 20 décembre 2007 consid. 3.2, et les références citées ; cf. également la décision querellée, dans laquelle il est indiqué qu'il est interdit à la personne concernée d'entrer en Suisse ou au Liechtenstein sans l'autorisation expresse de l'ODM). On ne saurait dès lors voir une violation du principe ne bis in idem dans le fait que le recourant, qui a commis des infractions sanctionnées pénalement, a également fait l'objet d'une mesure administrative d'interdiction d'entrée pendant un certain laps de temps.</w:t>
      </w:r>
    </w:p>
    <w:p>
      <w:r>
        <w:rPr>
          <w:b/>
        </w:rPr>
        <w:t>E. 6.8</w:t>
      </w:r>
    </w:p>
    <w:p>
      <w:r>
        <w:t>L'ensemble des éléments objectifs et subjectifs de la cause amène le Tribunal à la conclusion que l'interdiction d'entrée en Suisse prise par l'autorité inférieure le 24 mai 2011 est nécessaire et adéquate, et qu'il se justifie d'en fixer la durée à plus de cinq ans. Une interdiction d'entrée de dix ans, telle que prononcée par l'ODM, apparaît toutefois excessive dans le cas d'espèce. Il y a lieu de tenir compte en particulier du fait que l'infraction qualifiée prévue à l'art. 19 al. 2 LStup n'a pas été retenue à l'égard du recourant. Ainsi, au vu des circonstances, il convient de réduire la durée de la mesure à sept ans en vertu des principes de proportionnalité et d'égalité de traitement.</w:t>
      </w:r>
    </w:p>
    <w:p>
      <w:r>
        <w:rPr>
          <w:b/>
        </w:rPr>
        <w:t>E. 7.1</w:t>
      </w:r>
    </w:p>
    <w:p>
      <w:r>
        <w:t>Le recours est ainsi partiellement admis et la décision de l'ODM du 24 mai 2011 est réformée en ce sens que les effets de l'interdiction d'entrée sont limitées au 23 mai 2018.</w:t>
      </w:r>
    </w:p>
    <w:p>
      <w:r>
        <w:rPr>
          <w:b/>
        </w:rPr>
        <w:t>E. 7.2</w:t>
      </w:r>
    </w:p>
    <w:p>
      <w:r>
        <w:t>Vu le sort de la cause, il y a lieu de mettre des frais réduits, d'un montant de Fr. 500.-, à la charge du recourant (art. 63 al. 1 PA en relation avec les art. 1 à 3 du règlement du Tribunal administratif fédéral du 21 février 2008 concernant les frais, dépens et indemnités fixés par le Tribunal administratif fédéral [FITAF, RS 173.320.2]). Bien que le recourant obtienne partiellement gain de cause, il ne se justifie pas de lui accorder des dépens réduits. En effet, il n'est pas représenté par un mandataire professionnel et, même s'il a bénéficié de l'aide d'un tiers pour la rédaction de ses mémoires, il ne ressort pas du dossier qu'il ait eu à supporter des frais indispensables et relativement élevés au sens de l'art. 64 al. 1 PA en relation avec l'art. 7 al. 1 et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