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C-1445/2009 vom 19. August 2010</w:t>
      </w:r>
    </w:p>
    <w:p>
      <w:r>
        <w:t>Bundesverwaltungsgericht, 2010-08-19, IT</w:t>
      </w:r>
    </w:p>
    <w:p>
      <w:r>
        <w:rPr>
          <w:b/>
        </w:rPr>
        <w:t xml:space="preserve">Quelle: </w:t>
      </w:r>
      <w:r>
        <w:t>https://mcp.opencaselaw.ch/entscheid/bvger_C-1445_2009</w:t>
      </w:r>
    </w:p>
    <w:p>
      <w:r>
        <w:t>FR: TAF C-1445/2009 du 19 août 2010</w:t>
      </w:r>
    </w:p>
    <w:p>
      <w:r>
        <w:t>IT: TAF C-1445/2009 del 19 agosto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L'insorgente ha versato l'anticipo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 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Il periodo di cognizione giudiziaria dello scrivente Tribunale amministrativo federale si estende fino al 2 febbraio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13 luglio 2004, con la quale l'UAIE ha erogato in favore dell'assicurato una mezza rendita AI a decorrere dal 1° aprile 2004, ed il 2 febbraio 2009, data della decisione impugnata.</w:t>
      </w:r>
    </w:p>
    <w:p>
      <w:r>
        <w:rPr>
          <w:b/>
        </w:rPr>
        <w:t>E. 8</w:t>
      </w:r>
    </w:p>
    <w:p>
      <w:r>
        <w:t>L'interessato non ha più lavorato dall'aprile 2002 (doc. 9, 45). 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Nel riconoscere inizialmente il diritto alla mezza rendita AI l'autorità amministrativa si era fondata su di una documentazione medica dalla quale traspariva che l'assicurato era portatore di insufficienza valvolare aortica leggera in un contesto di post-endocardite del blocco A-V di II grado, deviazione cardiaca assiale sinistra, radicolopatia L4-L5 senza deficit, turbe degenerative e statiche, sindrome ansio-depressiva grave in trattamento.</w:t>
      </w:r>
    </w:p>
    <w:p>
      <w:r>
        <w:rPr>
          <w:b/>
        </w:rPr>
        <w:t>E. 9.2</w:t>
      </w:r>
    </w:p>
    <w:p>
      <w:r>
        <w:t>Al momento della revisione in esame in base ai documenti giunti dall'INPS era stata posta la diagnosi di disturbo depressivo ansioso in trattamento farmacologico, valvulopatia aortica da verosimile pregressa endocardite con lieve rigurgito e BAV di 1° grado, sindrome algica lombare/vertebrale con spondilodiscoartrosi (cfr. perizie mediche del 31 dicembre 2007 e del 12 settembre 2008, doc. 49, 56).</w:t>
      </w:r>
    </w:p>
    <w:p>
      <w:r>
        <w:rPr>
          <w:b/>
        </w:rPr>
        <w:t>E. 10.1</w:t>
      </w:r>
    </w:p>
    <w:p>
      <w:r>
        <w:t>Per quanto riguarda le conseguenze invalidanti delle menzionate affezioni, i medici dell'INPS confermano un tasso d'invalidità del 50% annotando che le condizioni di salute sono rimaste stazionarie rispetto a precedenti visite (doc. 49, 56). Il medico dell'UAIE ammette invece un sensibile miglioramento della capacità di lavoro dell'interessato, tale da consentire la riduzione del tasso d'invalidità dal 50 allo zero per cento (doc. 59, 68). A suo parere l'interessato potrebbe riprendere il suo mestiere nell'industria del metallo.</w:t>
      </w:r>
    </w:p>
    <w:p>
      <w:r>
        <w:rPr>
          <w:b/>
        </w:rPr>
        <w:t>E. 10.2.1</w:t>
      </w:r>
    </w:p>
    <w:p>
      <w:r>
        <w:t>Il diritto alla mezza rendita d'invalidità è stato soppresso per il miglioramento della patologia psichica che al momento del riconoscimento della prestazione era stata definita come sindrome ansio-depressiva grave in trattamento, mentre in sede di revisione è stata definita come disturbo depressivo ansioso in trattamento farmacologico. Dal punto di vista somatico la situazione sarebbe invece rimasta stabile (cfr. rapporti SMR, in particolare doc. 59). Ora, a mente dello scrivente Tribunale, l'incarto non contiene alcuna perizia psichiatrica attendibile ed approfondita. La visita psichiatrica del 26 settembre 2008 è molto succinta e si limita a riportare quanto osservato durante l'esame concludendo che lo svolgimento di un'attività lavorativa è dannoso (doc. 57). Di regola, un rapporto psichiatrico, per avere valore probante, deve contenere l'anamnesi, l'evoluzione della malattia, lo stato attuale, la diagnosi, la prognosi, la durata ed il tipo di trattamento (con il dosaggio), la frequenza delle sedute specialistiche. In modo specifico, il rapporto stesso dovrebbe fornire delle indicazioni sullo stato psichico (aspetto, atteggiamento, orientamento spazio-temporale, conservazione della memoria, capacità di concentrazione, facoltà di comprensione, d'interpretazione e di percezione), nonché tutti quei riscontri che permettono di individuare elementi di carattere patologico ed eventuali test psichiatrici. Queste ricerche sono necessarie laddove la malattia psichica/mentale è data come la principale causa di uno stato d'invalidità (cfr. DTF 125 V 352, consid. 3a; 122 V 160 consid. 1c e riferimenti). Nella fattispecie queste esigenze non sono adempiute.</w:t>
      </w:r>
    </w:p>
    <w:p>
      <w:r>
        <w:rPr>
          <w:b/>
        </w:rPr>
        <w:t>E. 10.2.2</w:t>
      </w:r>
    </w:p>
    <w:p>
      <w:r>
        <w:t>Lo scrivente Tribunale considera che l'istruttoria non è stata adeguatamente svolta per un secondo motivo. Anche se la rendita è stata assegnata soprattutto per motivi psichiatrici, le turbe di carattere cardiologico ed ortopedico restano importanti e avrebbero meritato un migliore approfondimento ed un'attualizzazione. Va annotato che lo stesso medico che ha redatto la relazione clinica del 3 maggio 2003 (Dott. Di Sabatino, specialista in cardiologia; doc. 15), ha nuovamente allestito la certificazione del 18 febbraio 2009 prodotta in sede ricorsuale nella quale viene ribadita un'incapacità al lavoro totale nel mestiere di operaio. Egli conferma un quadro di affezione cardiocircolatoria, che pone seri dubbi sulla capacità residua dell'assicurato di riprendere il precedente lavoro di operaio del settore metallurgico. Parimenti, nulla è pervenuto in materia ortopedica/neurologica.</w:t>
      </w:r>
    </w:p>
    <w:p>
      <w:r>
        <w:rPr>
          <w:b/>
        </w:rPr>
        <w:t>E. 10.2.3</w:t>
      </w:r>
    </w:p>
    <w:p>
      <w:r>
        <w:t>Il servizio medico dell'UAIE avrebbe pertanto dovuto richiedere non solo un approfondimento dell'indagine psichiatrica, ma anche cardiologica con l'allestimento di più recenti esami (elettrocardiogramma, ergometria ed ecocardiogramma, nonché una perizia cardiologica finale) e ortopedica/neurologica con esami specifici (risonanze magnetiche, elettromiografia, eventuali tomografie assiali computerizzate, radiografie, ecc.). Peraltro, va osservato che l'indagine precedente svolta nell'ambito della prima domanda non ha chiarito quali fossero i compiti specifici del nominato nel suo lavoro nell'industria del metallo. Di solito, l'attività di recupero di metalli si svolge in cantieri aperti con carcasse di automobili ed altri rifiuti ferrosi. Per stabilire se questo mestiere è di nuovo esigibile in misura completa, deve essere prima accertato con precisione quali fossero i compiti dell'interessato.</w:t>
      </w:r>
    </w:p>
    <w:p>
      <w:r>
        <w:rPr>
          <w:b/>
        </w:rPr>
        <w:t>E. 10.3</w:t>
      </w:r>
    </w:p>
    <w:p>
      <w:r>
        <w:t>Viste queste lacune e svolte queste considerazioni, il collegio giudicante si trova nell'impossibilità di determinare la misura dell'evoluzione dell'incapacità di lavoro e di guadagno subita dall'interessato e in particolare se vi è stato un miglioramento della sua capacità lavorativa ai sensi dell'art. 17 LPGA.</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eonomico/lavorativa dell'assicurato volta segnatamente ad accertare quali fossero i compiti dell'assicurato nel suo precedente lavoro. Indi, procederà ad un approfondimento dell'indagine medica. A tale fine il ricorrente dovrà essere sottoposto ad una perizia approfondita in cardiologia, neurologia/ortopedia e neuropsichiatria ed a tutti quegli esami oggettivi che il caso richiede. L'incarto sarà poi inviato in esame al servizio medico dell'UAIE, il quale si pronuncerà in merito all'evoluzione dell'incapacità al lavoro fra il 13 luglio 2004 (data della decisione che ha riconosciuto il diritto alla mezza rendita AI) ed il 2 febbraio 2009, data della decisione impugnata, nonché in merito all'attività professionale che il ricorrente avrebbe potuto espletare nel periodo suddetto. Se del caso, l'Autorità amministrativa effettuerà poi un'adeguata e circostanziata indagine comparativa dei redditi.</w:t>
      </w:r>
    </w:p>
    <w:p>
      <w:r>
        <w:rPr>
          <w:b/>
        </w:rPr>
        <w:t>E. 12.1</w:t>
      </w:r>
    </w:p>
    <w:p>
      <w:r>
        <w:t>Visto l'esito del ricorso, non vengono prelevate spese processuali. L'anticipo delle spese processuali di Fr. 300.-, versato dall'insorgente il 7 ottobre 2009, gli viene restituito.</w:t>
      </w:r>
    </w:p>
    <w:p>
      <w:r>
        <w:rPr>
          <w:b/>
        </w:rPr>
        <w:t>E. 12.2</w:t>
      </w:r>
    </w:p>
    <w:p>
      <w:r>
        <w:t>In base all'art. 64 PA, l'autorità di ricorso, se ammette il ricorso in tutto o in parte, può assegnare al ricorrente un'indennità per le spese indispensabili e relativamente elevate che ha sopportato. Nel caso in esame, viste la memoria ricorsuale e la replica, nonché la documentazione esibita, si giustifica riconoscere alla parte ricorrente un'indennità per spese ripetibili di Fr. 700.-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