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C-1442/2015 vom 29. November 2016</w:t>
      </w:r>
    </w:p>
    <w:p>
      <w:r>
        <w:t>Bundesverwaltungsgericht, 2016-11-29, DE</w:t>
      </w:r>
    </w:p>
    <w:p>
      <w:r>
        <w:rPr>
          <w:b/>
        </w:rPr>
        <w:t xml:space="preserve">Quelle: </w:t>
      </w:r>
      <w:r>
        <w:t>https://mcp.opencaselaw.ch/entscheid/bvger_C-1442_2015</w:t>
      </w:r>
    </w:p>
    <w:p>
      <w:r>
        <w:t>FR: TAF C-1442/2015 du 29 novembre 2016</w:t>
      </w:r>
    </w:p>
    <w:p>
      <w:r>
        <w:t>IT: TAF C-1442/2015 del 29 novembre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nachfolgend Vorinstanz) für die Verfügung von Leistungen der Invalidenversicherung (IV) zuständig (Art. 40 Abs. 1 lit. b der Verordnung über die Invalidenversicherung vom 17. Januar 1961 [IVV, SR 831.201]). Der Beschwerdeführer ist in Bosnien-Herzegowina domiziliert. Die angefochtene Verfügung vom 17. Februar 2015 wurde daher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Ausnahme unterliegt.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und der Kostenvorschuss geleistet (Art. 60 ATSG, Art. 52 und 63 Abs. 4 VwVG), weshalb auf sie eingetreten werden kann.</w:t>
      </w:r>
    </w:p>
    <w:p>
      <w:r>
        <w:rPr>
          <w:b/>
        </w:rPr>
        <w:t>E. 3.1</w:t>
      </w:r>
    </w:p>
    <w:p>
      <w:r>
        <w:t>Die Schweiz hat mit Bosnien-Herzegowina bisher kein eigenes Sozialversicherungsabkommen abgeschlossen; hingegen ist das Abkommen zwischen der Schweizerischen Eidgenossenschaft und der Föderativen Volksrepublik Jugoslawien über Sozialversicherung vom 8. Juni 1962 (Sozialversicherungsabkommen, SR 0.831.109.818.1) weiter anwendbar (BGE 139 V 263 E. 5.4).</w:t>
      </w:r>
    </w:p>
    <w:p>
      <w:r>
        <w:rPr>
          <w:b/>
        </w:rPr>
        <w:t>E. 3.2</w:t>
      </w:r>
    </w:p>
    <w:p>
      <w:r>
        <w:t>Nach dem Sozialversicherungsabkommen sind Angehörige der jeweiligen Staaten den Angehörigen des Partnerstaates in Rechten und Pflichten betreffend die Invalidenversicherung gleichgestellt, insoweit nicht das Abkommen selbst eine Differenzierung vorsieht (Art. 2 Sozialversicherungsabkommen). Für Staatsangehörige Bosnien-Herzegowinas sieht das Abkommen vor, dass ordentliche IV-Renten bei einem Invaliditätsgrad von unter 50% nur solange ausgerichtet werden, wie ein Schweizer Wohnsitz aufrechterhalten wird (Art. 8 lit. e Sozialversicherungsabkommen).</w:t>
      </w:r>
    </w:p>
    <w:p>
      <w:r>
        <w:rPr>
          <w:b/>
        </w:rPr>
        <w:t>E. 3.3</w:t>
      </w:r>
    </w:p>
    <w:p>
      <w:r>
        <w:t>Grundsätzlich ist die Gesetzgebung desjenigen Landes anwendbar, in welchem die für die Versicherung massgebende Beschäftigung ausgeübt wird (Art. 4 Sozialversicherungsabkommen). Bezog ein jugoslawischer Staatsangehöriger vor dem Verlassen der Schweiz eine IV-Rente, ist er Versicherten gemäss Schweizer Gesetzgebung gleichgestellt (Art 8 lit. b Sozialversicherungsabkommen).</w:t>
      </w:r>
    </w:p>
    <w:p>
      <w:r>
        <w:rPr>
          <w:b/>
        </w:rPr>
        <w:t>E. 3.4</w:t>
      </w:r>
    </w:p>
    <w:p>
      <w:r>
        <w:t>Der Beschwerdeführer besitzt die Staatsangehörigkeit Bosnien-Herzegowinas, einer Partei des Sozialversicherungsabkommens, und begehrt Leistungen aus der im Abkommen eigens genannten Invalidenversicherung (Art. 1 Abs. 1 lit. a no. ii Sozialversicherungsabkommen). Die persönliche und sachliche Anwendbarkeit desselben sind damit erstellt.</w:t>
      </w:r>
    </w:p>
    <w:p>
      <w:r>
        <w:rPr>
          <w:b/>
        </w:rPr>
        <w:t>E. 3.5</w:t>
      </w:r>
    </w:p>
    <w:p>
      <w:r>
        <w:t>Die angefochtene Verfügung vom 17. Februar 2015 wie auch der zugrundeliegende Sachverhalt ab März 2014 (Sachv. B.d) liegen beide und vollständig in der Periode nach Inkrafttreten des Abkommens. Seine zeitliche Anwendbarkeit ist daher ebenfalls gegeben.</w:t>
      </w:r>
    </w:p>
    <w:p>
      <w:r>
        <w:rPr>
          <w:b/>
        </w:rPr>
        <w:t>E. 3.6</w:t>
      </w:r>
    </w:p>
    <w:p>
      <w:r>
        <w:t>Durch die Erwerbstätigkeit des Beschwerdeführers in der Schweiz ist koordinationsrechtlich Schweizer Recht anwendbar. Das Sozialversicherungsabkommen enthält keine materiellen Bestimmungen dazu, ob und gegebenenfalls ab wann Anspruch auf eine Rente der Invalidenversicherung besteht. Ein allfälliger Anspruch beurteilt sich deshalb,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eine Verfügung vom 17. Februar 2015 bezüglich eines Sachverhalts ab März 2014 strittig, weshalb insbesondere das IVG und die IVV der 6. IV-Revision massgebend sind. Ferner sind das ATSG und die Verordnung vom 11. September 2002 über den Allgemeinen Teil des Sozialversicherungsrechts (ATSV, SR 830.11) anwendbar.</w:t>
      </w:r>
    </w:p>
    <w:p>
      <w:r>
        <w:rPr>
          <w:b/>
        </w:rPr>
        <w:t>E. 4.2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Ausländische Staatsangehörige sind nur anspruchsberechtigt, solange sie ihren Wohnsitz und gewöhnlichen Aufenthalt in der Schweiz haben. Für Angehörige im Ausland werden keine Leistungen gewährt (Art. 6 Abs. 2 IVG). Mittels Sozialversicherungsabkommen kann diese Leistungsberechtigung ausgedehnt werden (vgl. E. 3).</w:t>
      </w:r>
    </w:p>
    <w:p>
      <w:r>
        <w:rPr>
          <w:b/>
        </w:rPr>
        <w:t>E. 4.4</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 Ab einem Invaliditätsgrad von 40% wird eine Viertelsrente, ab 50% eine halbe Rente, ab 60% eine Dreiviertelsrente und ab 70% eine ganze Rente ausgerichtet (Art. 28 Abs. 2 IVG). Vorliegend ist einzuschränken, dass aufgrund des anwendbaren Sozialversicherungsabkommens lediglich Renten ab einer Invalidität von 50% exportierbar sind (E. 3.2).</w:t>
      </w:r>
    </w:p>
    <w:p>
      <w:r>
        <w:rPr>
          <w:b/>
        </w:rPr>
        <w:t>E. 4.5</w:t>
      </w:r>
    </w:p>
    <w:p>
      <w:r>
        <w:t>Wurde eine Rente wegen eines zu geringen Invaliditätsgrades verweigert, so wird eine neue Anmeldung nur geprüft, wenn im Leistungsbegehren glaubhaft dargelegt wird, dass sich der Grad der Invalidität der versicherten Person in einer für den Anspruch erheblichen Weise geändert hat (Art. 87 Abs. 3 IVV).</w:t>
      </w:r>
    </w:p>
    <w:p>
      <w:r>
        <w:rPr>
          <w:b/>
        </w:rPr>
        <w:t>E. 4.5.1</w:t>
      </w:r>
    </w:p>
    <w:p>
      <w:r>
        <w:t>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Wenn keine Verfügung verlangt wurde, ist auch eine einfache Mitteilung über die Nicht-Anpassung des Invaliditätsgrads nach amtlicher Revision zu beachten (Urteil des BGer 9C_46/2009 vom 14. August 2009 E. 3.1).</w:t>
      </w:r>
    </w:p>
    <w:p>
      <w:r>
        <w:rPr>
          <w:b/>
        </w:rPr>
        <w:t>E. 4.5.2</w:t>
      </w:r>
    </w:p>
    <w:p>
      <w:r>
        <w:t>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 welche gleichermassen für das Neuanmeldungsverfahren gilt (BGE 133 V 108 E. 5.2) - ist allerdings die lediglich unterschiedliche Beurteilung eines im Wesentlichen unverändert gebliebenen Sachverhalts unerheblich (BGE 112 V 371 E. 2b m.w.H.; Sozialversicherungsrecht - Rechtsprechung [SVR] 1996 IV Nr. 70 S. 204 E. 3a).</w:t>
      </w:r>
    </w:p>
    <w:p>
      <w:r>
        <w:rPr>
          <w:b/>
        </w:rPr>
        <w:t>E. 4.5.3</w:t>
      </w:r>
    </w:p>
    <w:p>
      <w:r>
        <w:t>Ist eine erhebliche Veränderung gegeben, wird die Rente anschliessend nicht nur in Bezug auf diese, sondern in rechtlicher und tatsächlicher Hinsicht allseitig geprüft (BGE 117 V 198 E. 4b).</w:t>
      </w:r>
    </w:p>
    <w:p>
      <w:r>
        <w:rPr>
          <w:b/>
        </w:rPr>
        <w:t>E. 4.6</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Rz. 937 ff. m.w.H.).</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Nach bundesgerichtlicher Rechtsprechung stellt das Sozialversicherungsgericht bei der Beurteilung einer Streitsache in der Regel auf den bis zum Zeitpunkt des Erlasses der streitigen Verwaltungsverfügung eingetretenen Sachverhalt ab (BGE 129 V 1 E. 1.2 m.w.H.).</w:t>
      </w:r>
    </w:p>
    <w:p>
      <w:r>
        <w:rPr>
          <w:b/>
        </w:rPr>
        <w:t>E. 5.4</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BGE 125 V 195 E. 2, je m.w.H.).</w:t>
      </w:r>
    </w:p>
    <w:p>
      <w:r>
        <w:rPr>
          <w:b/>
        </w:rPr>
        <w:t>E. 5.5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6.1</w:t>
      </w:r>
    </w:p>
    <w:p>
      <w:r>
        <w:t>Nachdem die abweisende Verfügung vom 7. März 2014 (Sachv. B.d) in Rechtskraft erwachsen ist, handelt es sich bei dem Gesuch um IV-Leistungen vom 21. Mai 2014 (Sachv. C.a) um eine Neuanmeldung. In einem ersten Schritt war deshalb die glaubhafte Darlegung einer für den Anspruch wesentlichen Änderung des Sachverhalts zu prüfen (E. 4.5). Die Vorinstanz sah dieses Erfordernis, wie auch der RAD, der in seiner Stellungnahme vom 16. Juli 2014 von einer sich für die Arbeitsfähigkeit in einer Verweistätigkeit als relevant erweisenden Verschlechterung des Gesundheitszustandes ausging (IV-act. 55), als erfüllt; vgl. auch materielle Ausführungen in der angefochtenen Verfügung vom 17. Februar 2015), weshalb dieser Punkt nicht strittig und nicht zu prüfen ist.</w:t>
      </w:r>
    </w:p>
    <w:p>
      <w:r>
        <w:rPr>
          <w:b/>
        </w:rPr>
        <w:t>E. 6.2</w:t>
      </w:r>
    </w:p>
    <w:p>
      <w:r>
        <w:t>Der ärztliche Dienst sieht die Arbeitsfähigkeit des Beschwerdeführers ohne besondere Ausführungen ab dem Zeitpunkt des eingereichten Attests von Dr. E._______ vom 2. Juni 2014 als neu um 20% reduziert (16. Juli 2014, Sachv. C.b). Die Kürze seiner Stellungnahme überrascht, liegen doch gegenüber dem Stand der vorhergehenden Verfügung keine neuen somatischen Diagnosen vor (IV-act. 53 p. 2 vs. 25-27). Ob sich der Dienst nur auf die frühere, die zervikalen Beschwerden noch nicht in dieser Form enthaltende Beurteilung durch den bosnisch-herzegowinischen Versicherungsträger (Sachv. B.a) bezieht, wie die Darstellung in einer späteren Stellungnahme (17. April 2015, IV-act. 86) nahelegt, kann jedoch in Anbetracht der nachfolgenden Ausführungen offenbleiben.</w:t>
      </w:r>
    </w:p>
    <w:p>
      <w:r>
        <w:rPr>
          <w:b/>
        </w:rPr>
        <w:t>E. 6.3</w:t>
      </w:r>
    </w:p>
    <w:p>
      <w:r>
        <w:t>Mit Arztbrief vom 15. Januar 2015 (Sachv. C.f) wird dem Beschwerdeführer eine Verschlechterung seines Zustands attestiert. Der ärztliche Dienst hält in seinem Bericht vom 10. Februar 2015 aber an seiner Einschätzung fest (Sachv. C.g), weil eine klinische Untersuchung zur Bestätigung einer Verschlechterung seit seiner Stellungnahme vom 16. Juli 2014 fehle. Erst im Rahmen des Schriftenwechsels sieht er sich anhand neuerer, vom Beschwerdeführer beigebrachter Unterlagen (Beilagen zu act. 3) in der Lage, ein zervikoradikuläres Syndrom und damit eine deutlich weitergehende Arbeitsunfähigkeit, ab dem Ausstellungsdatum dieser Unterlagen, "zu bestätigen" (Stellungnahme vom 17. April 2015, IV-act. 86; Sachv. D.c).</w:t>
      </w:r>
    </w:p>
    <w:p>
      <w:r>
        <w:rPr>
          <w:b/>
        </w:rPr>
        <w:t>E. 6.3.1</w:t>
      </w:r>
    </w:p>
    <w:p>
      <w:r>
        <w:t>Nachdem bereits auf die Neuanmeldung eingetreten worden war, musste die Vorinstanz den Sachverhalt von Amtes wegen klären (E. 4.5.3, 4.6). Sie wäre daher gehalten gewesen, diesbezüglich bereits im Verwaltungsverfahren weitere Abklärungen zu treffen.</w:t>
      </w:r>
    </w:p>
    <w:p>
      <w:r>
        <w:rPr>
          <w:b/>
        </w:rPr>
        <w:t>E. 6.3.2</w:t>
      </w:r>
    </w:p>
    <w:p>
      <w:r>
        <w:t>Der ärztliche Dienst bestätigte erst in seiner letzten Stellungnahme vom 17. April 2015 (IV-act. 86) im Rahmen des Schriftenwechsels ein zervikoradikuläres Syndrom; dies obwohl eine Zerviko-Brachialgie - als vertebragene Brachialgie ebenfalls radikulopathisch - bereits im ursprünglich ins Recht gelegten Attest vom 2. Juni 2014 (IV-act. 53) diagnostiziert wurde (zervikoradikuläre Störungen werden bereits früher beschrieben, bspw. IV-act. 27). Zudem schloss der ärztliche Dienst mit Stellungnahme vom 17. April 2015 aufgrund dieser Diagnose neu auf eine Arbeitsunfähigkeit von 50% ab 25. Februar 2015, ohne dass in der Begründung erkennbar würde, weshalb dieser Arbeitsunfähigkeitsgrad erst ab 25. Februar 2015 gelte. Notabene hielt der ärztliche Dienst selber fest, dass die behandelnden Ärzte ohne Erfolg in den vergangenen Monaten mit verschiedenen konservativen Mitteln versucht hätten, die Situation zu verbessern.</w:t>
      </w:r>
    </w:p>
    <w:p>
      <w:r>
        <w:rPr>
          <w:b/>
        </w:rPr>
        <w:t>E. 6.3.3</w:t>
      </w:r>
    </w:p>
    <w:p>
      <w:r>
        <w:t>Damit wurde der rechtserhebliche Sachverhalt von der Vorinstanz nicht vollständig erhoben und bleibt unklar, in welchem Masse und ab wann die attestierte Verschlechterung des Gesundheitszustandes (hinsichtlich der zerviko-brachialen Erkrankung) eingetreten ist. Ob zusätzlich - eine früher diagnostizierte - sensomotorische Polyneuropathie vorliegt, wurde im Übrigen nie geprüft (vgl. neurologischer Bericht vom 22. Dezember 2012; IV-act. 18 p. 16). Diesbezüglich ist die Sache an die Vorinstanz zu ergänzenden Abklärungen (in neurologischer und rheumatologischer Hinsicht) zurückzuweisen.</w:t>
      </w:r>
    </w:p>
    <w:p>
      <w:r>
        <w:rPr>
          <w:b/>
        </w:rPr>
        <w:t>E. 6.4</w:t>
      </w:r>
    </w:p>
    <w:p>
      <w:r>
        <w:t>Dies gilt auch für die psychiatrische Beurteilung: Im früheren Verfahren wurde eine Dysthymie bzw. ein ängstlich-depressiver Status diagnostiziert (IV-act. 18 p. 9, 18 p. 14, 28). Ohne dass die nachgereichten Berichte zwar Befunde enthalten, die auf eine deutliche Verschlechterung des psychischen Zustandes hinweisen, geht Dr. E._______ von einer Verschlechterung aus (IV-act. 53: "même si maintenant il existe aussi des indices pour diagnostiquer une maladie dépressive"). Die Diagnosestellung bleibt zwar ohne fundierte Erklärungen seitens des behandelnden Psychiaters unklar, zumal er die bisherige Diagnose Dysthymie im gleichen Atemzug mit einer Depression nennt, ohne den Grund für die Verschlechterung zu nennen, Differenzen zwischen früheren und aktuellen Befunden zu bezeichnen, den Schweregrad der Depression anzugeben oder mittels ICD-10 zu klassifizieren. Dysthymie und (rentenrelevante) mittlere bis schwere Depression schliessen sich gegenseitig aus (vgl. BGE 127 V 294 E. 5a; Urteil des BGer 9C_748/2013 vom 10. Februar 2014 E. 3.2, 4.1.2; Urteil des Eidgenössischen Versicherungsgerichts I 356/00 vom 29. Januar 2001 E. 3a). Jedoch kann in Anbetracht der ungenügenden Akten der behandelnden Ärzte in Bosnien und Herzegowina nicht mit überwiegender Wahrscheinlichkeit beantwortet werden, ob in psychiatrischer Hinsicht eine Verschlechterung seit März 2014 eingetreten ist. Zudem verweist Dr. F._______ darauf, dass die psychiatrische Erkrankung durch die somatischen Schmerzen bedingt seien, weshalb ein somatischer Arzt dazu Stellung nehmen müsse. In den späteren Stellungnahmen von Dr. G._______ fehlt jedoch eine Beurteilung der Schmerzproblematik aus interdisziplinärer Sicht und deren Auswirkungen auf die Arbeitsfähigkeit im Lichte der jüngeren Rechtsprechung des Bundesgerichts zu Schmerzstörungen (BGE 141 V 281). Diesbezüglich erweist sich damit die Beurteilung der Vorinstanz als ungenügend und bedarf ebenfalls weitergehender Abklärungen.</w:t>
      </w:r>
    </w:p>
    <w:p>
      <w:r>
        <w:rPr>
          <w:b/>
        </w:rPr>
        <w:t>E. 7.1</w:t>
      </w:r>
    </w:p>
    <w:p>
      <w:r>
        <w:t>Das Gericht entscheidet als verwaltungsrechtliche Beschwerdeinstanz in der Sache selbst oder weist sie ausnahmsweise an die Vorinstanz zurück (Art. 61 Abs. 1 VwVG). In der Sozialversicherung ist die Verwaltung jedoch regelmässig besser als die Justiz geeignet, Entscheidungsgrundlagen zu vervollständigen (BGE 131 V 407 E. 2.1.1).</w:t>
      </w:r>
    </w:p>
    <w:p>
      <w:r>
        <w:rPr>
          <w:b/>
        </w:rPr>
        <w:t>E. 7.2</w:t>
      </w:r>
    </w:p>
    <w:p>
      <w:r>
        <w:t>Eine Rückweisung darf nicht erfolgen, wenn sie nach den Umständen unverhältnismässig erscheint oder aufgrund besonderer Gegebenheiten nur ein Gerichtsgutachten bzw. andere gerichtliche Beweismassnahmen geeignet sind, zur Abklärung des Sachverhalts beizutragen (BGE 131 V 407 E. 2.1.1). Letzteres sieht das Bundesgericht insbesondere im Zusammenhang mit medizinischen Administrativgutachten und den Partizipationsrechten der betroffenen Person als gegeben (BGE 137 V 210 E. 4.4.1.4).</w:t>
      </w:r>
    </w:p>
    <w:p>
      <w:r>
        <w:rPr>
          <w:b/>
        </w:rPr>
        <w:t>E. 7.3</w:t>
      </w:r>
    </w:p>
    <w:p>
      <w:r>
        <w:t>Vorliegend wurde der Gesundheitszustand des Beschwerdeführers unter Missachtung der Untersuchungsmaxime ungenügend erhoben. Es rechtfertigt sich deshalb, die Sache an die Vorinstanz zu ergänzenden Abklärungen in neurologischer, orthopädischer und psychiatrischer Hinsicht zur interdisziplinären Begutachtung zurückzuweisen.</w:t>
      </w:r>
    </w:p>
    <w:p>
      <w:r>
        <w:rPr>
          <w:b/>
        </w:rPr>
        <w:t>E. 8</w:t>
      </w:r>
    </w:p>
    <w:p>
      <w:r>
        <w:t>Zu befinden bleibt über die Verfahrenskosten und eine allfällige Parteientschädigung.</w:t>
      </w:r>
    </w:p>
    <w:p>
      <w:r>
        <w:rPr>
          <w:b/>
        </w:rPr>
        <w:t>E. 8.1</w:t>
      </w:r>
    </w:p>
    <w:p>
      <w:r>
        <w:t>Die Verfahrenskosten sind in der Regel der unterliegenden Partei aufzuerlegen (Art. 63 Abs. 1 VwVG). Der Vorinstanz werden allerdings keine Verfahrenskosten auferlegt (Art. 63 Abs. 2 VwVG). Dem obsiegenden Beschwerdeführer ist der geleistete Kostenvorschuss von Fr. 400.- nach Eintritt der Rechtskraft dieses Urteils auf ein von ihm bekanntzugebendes Konto zurückzuerstatten.</w:t>
      </w:r>
    </w:p>
    <w:p>
      <w:r>
        <w:rPr>
          <w:b/>
        </w:rPr>
        <w:t>E. 8.2</w:t>
      </w:r>
    </w:p>
    <w:p>
      <w:r>
        <w:t>Der Beschwerdeführer hat Anspruch auf eine Parteientschädigung zu Lasten der Vorinstanz für die ihm erwachsenen notwendigen Kosten (Art. 64 Abs. 1 VwVG i.V.m. Art. 7ff des Reglements vom 21. Februar 2008 über die Kosten und Entschädigungen vor dem Bundesverwaltungsgericht [VGKE, SR 173.320.2]). Der nicht-anwaltliche Rechtsvertreter hat keine Honorarnote eingereicht, weshalb das Gericht auf Grundlage der Akten entscheidet (Art. 14 Abs. 2 VGKE). Es wird eine Parteientschädigung von CHF 1'000.- (inkl. Auslagen, exkl. MwSt. [vgl. bspw. Urteil des BVGer C-1433/2014 vom 30. Oktober 2015 E. 9.2])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