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C-1442/2010 vom 21. September 2012</w:t>
      </w:r>
    </w:p>
    <w:p>
      <w:r>
        <w:t>Bundesverwaltungsgericht, 2012-09-21, DE</w:t>
      </w:r>
    </w:p>
    <w:p>
      <w:r>
        <w:rPr>
          <w:b/>
        </w:rPr>
        <w:t xml:space="preserve">Quelle: </w:t>
      </w:r>
      <w:r>
        <w:t>https://mcp.opencaselaw.ch/entscheid/bvger_C-1442_2010</w:t>
      </w:r>
    </w:p>
    <w:p>
      <w:r>
        <w:t>FR: TAF C-1442/2010 du 21 septembre 2012</w:t>
      </w:r>
    </w:p>
    <w:p>
      <w:r>
        <w:t>IT: TAF C-1442/2010 del 21 settembre 2012</w:t>
      </w:r>
    </w:p>
    <w:p>
      <w:pPr>
        <w:pStyle w:val="Heading2"/>
      </w:pPr>
      <w:r>
        <w:t>Regeste</w:t>
      </w:r>
    </w:p>
    <w:p>
      <w:r>
        <w:t>Alters- und Hinterlassenenversicherung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Das BSV ist eine Vorinstanz im Sinne von Art. 33 Bst. d VGG; eine Ausnahme gemäss Art. 32 VGG liegt nicht vor. Das Bundesverwaltungsgericht ist somit für die Behandlung der vorlie­gen­den Beschwerde zuständig.</w:t>
      </w:r>
    </w:p>
    <w:p>
      <w:r>
        <w:rPr>
          <w:b/>
        </w:rPr>
        <w:t>E. 2</w:t>
      </w:r>
    </w:p>
    <w:p>
      <w:r>
        <w:t>Das Verfahren vor dem Bundesverwaltungsgericht richtet sich nach dem Verwaltungsverfahrensgesetz, soweit das Verwaltungsgerichtsgesetz nichts anderes bestimmt (Art. 37 VGG). Die Beschwerdeführerin hat am vorinstanzlichen Verfahren teilgenommen, ist von der angefochtenen Verfügung ohne Zweifel besonders berührt und hat ein schutzwürdiges Interesse an deren Aufhebung oder Änderung (vgl. Art. 48 Abs. 1 VwVG). Auf die frist- und form­gerecht (vgl. Art. 50 und Art. 52 VwVG) eingereichte Beschwer­de ist, nachdem auch der Kostenvorschuss rechtzeitig geleistet wurde, einzutreten.</w:t>
      </w:r>
    </w:p>
    <w:p>
      <w:r>
        <w:rPr>
          <w:b/>
        </w:rPr>
        <w:t>E. 3</w:t>
      </w:r>
    </w:p>
    <w:p>
      <w:r>
        <w:t>In Abweichung von Artikel 35 des Bundesgesetzes über den Allgemeinen Teil des Sozialversicherungsrechts (ATSG, SR 830.1) entscheidet bei Streitigkeiten über die Kassenzugehörigkeit das zuständige Bundesamt. Sein Entscheid kann von den beteiligten Ausgleichskassen und vom Betroffenen innert 30 Tagen nach Erhalt der Mitteilung über die Kassenzugehörigkeit angerufen werden (Art. 64 Abs. 6 des Bundesgesetzes vom 20. Dezember 1946 über die Alters- und Hinterlassenenversicherung [AHVG, SR 831.10]). Fristauslösend ist gemäss Wegleitung über die Kassenzugehörigkeit der Beitragspflichtigen (WKB) der schriftliche Einspruch der bisherigen Ausgleichskasse gegen das Übertrittsbegehren (vgl. Rz. 2011).</w:t>
      </w:r>
    </w:p>
    <w:p>
      <w:r>
        <w:rPr>
          <w:b/>
        </w:rPr>
        <w:t>E. 4</w:t>
      </w:r>
    </w:p>
    <w:p>
      <w:r>
        <w:t>Streitig und im vorliegenden Verfahren zu prüfen ist, ob das BSV dem Übertrittsbegehren der AK AIHK betreffend die KSB AG zu Recht stattgegeben hat.</w:t>
      </w:r>
    </w:p>
    <w:p>
      <w:r>
        <w:rPr>
          <w:b/>
        </w:rPr>
        <w:t>E. 4.1</w:t>
      </w:r>
    </w:p>
    <w:p>
      <w:r>
        <w:t>Gemäss Art. 64 Abs. 1 AHVG werden den Verbandsausgleichskassen alle Arbeitgeber und Selbständigerwerbenden angeschlossen, die einem Gründerverband angehören. Arbeitgeber oder Selbständigerwerbende, die sowohl einem Berufsverband wie einem zwischenberuflichen Verband angehören, werden nach freier Wahl der Ausgleichskasse eines der beiden Verbände angeschlossen. Zur Errichtung von Verbandsausgleichskassen befugt sind ein oder mehrere schweizerische Berufsverbände sowie ein oder mehrere schweizerische oder regionale zwischenberufliche Verbände von Arbeitgebern oder von Selbständigerwerbenden, wenn die Voraussetzungen gemäss Art. 53 Abs. 1 Bst. a und b AHVG erfüllt sind.</w:t>
      </w:r>
    </w:p>
    <w:p>
      <w:r>
        <w:rPr>
          <w:b/>
        </w:rPr>
        <w:t>E. 4.2</w:t>
      </w:r>
    </w:p>
    <w:p>
      <w:r>
        <w:t>Den kantonalen Ausgleichskassen werden, soweit nicht eine der beiden Ausgleichskassen des Bundes zuständig ist (vgl. Art. 62 AHVG), alle Arbeitgeber und Selbständigerwerbenden angeschlossen, die keinem Gründerverband einer Verbandsausgleichskasse angehören, ferner die Nichterwerbstätigen und die versicherten Arbeitnehmer nicht beitragspflichtiger Arbeitgeber (Art. 64 Abs. 2 AHVG). Den kantonalen Ausgleichskassen kommt somit die Funktion einer Auffangkasse zu (BGE 101 V 22 E. II.1, BGE 102 V 213 E. 2).</w:t>
      </w:r>
    </w:p>
    <w:p>
      <w:r>
        <w:rPr>
          <w:b/>
        </w:rPr>
        <w:t>E. 4.3</w:t>
      </w:r>
    </w:p>
    <w:p>
      <w:r>
        <w:t>Nicht im Gesetz selber, sondern in Art. 121 AHVV geregelt ist ein allfälliger Kassenwechsel. Nach dessen Abs. 1 ist ein Wechsel der Ausgleichskasse nur zulässig, wenn die Voraussetzungen für den Anschluss an die bisherige Ausgleichskasse dahinfallen. Der Erwerb der Mitgliedschaft eines Gründerverbandes vermag gemäss Abs. 2 den Anschluss an die betreffende Verbandsausgleichskasse nicht zu begründen, wenn er ausschliesslich zu diesem Zweck erfolgt ist und kein anderes wesentliches Interesse an der Verbandsmitgliedschaft nachgewiesen wird.</w:t>
      </w:r>
    </w:p>
    <w:p>
      <w:r>
        <w:rPr>
          <w:b/>
        </w:rPr>
        <w:t>E. 4.4</w:t>
      </w:r>
    </w:p>
    <w:p>
      <w:r>
        <w:t>Aus der Rechtsprechung des Bundesgerichts (bzw. des damaligen Eidgenössischen Versicherungsgerichts [EVG]) ergibt sich Folgendes:</w:t>
      </w:r>
    </w:p>
    <w:p>
      <w:r>
        <w:rPr>
          <w:b/>
        </w:rPr>
        <w:t>E. 4.4.1</w:t>
      </w:r>
    </w:p>
    <w:p>
      <w:r>
        <w:t>Für die Beurteilung der Frage, ob an der Vereins- bzw. Verbandszugehörigkeit ein wesentliches Interesse im Sinne von Art. 121 Abs. 2 AHVV besteht, ist nicht die Bezeichnung der Mitgliedschaft (z.B. Aktiv- oder Passivmitglied) massgebend. Vielmehr ist zu prüfen, welche Vorteile dem Betreffenden aus der Mitgliedschaft erwachsen. Ergibt sich dabei, dass ein wesentliches Interesse an der Verbandsmitgliedschaft besteht, so bewirkt diese den Anschluss an die Verbandsausgleichskasse (BGE 102 V 213 E. 3). Die Kassenzugehörigkeit ergibt sich aus der gesetzlichen Regelung des Kompetenzbereiches der Ausgleichskassen und ist daher der freien Vereinbarung zwischen den Kassen entzogen; jede Ausgleichskasse hat von Amtes wegen zu prüfen, welche Personen zu ihrem Mitgliederbestand gehören (BGE 102 V 213 E. 1, BGE 101 V 22 E. II.3).</w:t>
      </w:r>
    </w:p>
    <w:p>
      <w:r>
        <w:rPr>
          <w:b/>
        </w:rPr>
        <w:t>E. 4.4.2</w:t>
      </w:r>
    </w:p>
    <w:p>
      <w:r>
        <w:t>Der Anschluss an eine Verbandsausgleichskasse ist nur zu verweigern, wenn es objektiv unmöglich ist, ein nebst der Kassenzugehörigkeit anderes wesentliches Interesse an der Verbandsmitgliedschaft nachzuweisen, wie dies etwa beim Erwerb der Verbandsmitgliedschaft einer fremden Berufsgruppe der Fall sein kann. Objektive Gesichtspunkte lassen sich dabei durch die Berücksichtigung der Interessenlage und der statutenmässigen Zwecksetzung des betreffenden Gründerverbandes gewinnen. Wird ein Arbeitgeber Mitglied des eigenen Berufsverbandes, kann das für einen Kassenwechsel vorausgesetzte wesentliche Interesse als gegeben gelten, sodass für die Anwendung von Art. 121 Abs. 2 AHVV kein Raum bleibt. Eine extensive Auslegung der Verordnungsbestimmung in Art. 121 Abs. 2 AHVV würde die kantonalen Ausgleichskassen gegenüber den Verbandsausgleichskassen bevorzugen, was Art. 64 AHVG nicht zulässt (Urteil EVG H 149/01 vom 25. September 2001 E. 2b, Urteil EVG H 358/00 vom 8. Februar 2001 E. 2 und 3, ZAK 1988 S. 34 f. E. 2).</w:t>
      </w:r>
    </w:p>
    <w:p>
      <w:r>
        <w:rPr>
          <w:b/>
        </w:rPr>
        <w:t>E. 4.4.3</w:t>
      </w:r>
    </w:p>
    <w:p>
      <w:r>
        <w:t>Mit Urteil H 221/98 vom 21. Juli 2000 hat das EVG die Beschwerde der Ausgleichskasse (Hotela) des Schweizer Hotelier-Vereins (SHV) und des Schweizer Reisebüro-Verbandes (SRV) gegen einen Entscheid des BSV abgewiesen, mit welchem das BSV die Übertrittsbegehren mehrerer Alters- und Pflegeheime abgelehnt hatte. Das EVG führte mit Bezug auf die Statuten und das dazugehörige Ausführungsreglement (in welchem Alters- und Pflegeheime ausdrücklich nicht als Hotel im Sinne der Statuten bezeichnet wurden) des SHV aus, die Interessenverfolgung der zur Diskussion stehenden Heime werde vom Vereinszweck des SHV nicht unmittelbar miterfasst und der SHV stelle insofern einen branchenfremden Verband dar (E. 3b). Den Umstand, dass einzelne der vom SHV angebotenen Dienstleistungen auch Alters- und Pflegeheimen zugutekommen können, erachtete das Gericht noch nicht als ausreichend, um ein wesentliches Interesse an der Vereinsmitgliedschaft zu begründen.</w:t>
      </w:r>
    </w:p>
    <w:p>
      <w:r>
        <w:rPr>
          <w:b/>
        </w:rPr>
        <w:t>E. 4.5</w:t>
      </w:r>
    </w:p>
    <w:p>
      <w:r>
        <w:t>Art. 121 Abs. 2 AHVV statuiert eine Abweichung von dem in Art. 64 AHVG verankerten Grundsatz, wonach der Beitritt zu einem Gründerverband zwingend den Anschluss an dessen Ausgleichskasse nach sich zieht und den kantonalen Ausgleichskassen nur diejenigen Arbeitgebenden angeschlossen sind, die keinem Gründerverband angehören. Die Vereinbarkeit der Verordnungsbestimmung mit übergeordnetem Recht wurde vom Bundesgericht nie in Frage gestellt. Es hat Art. 121 Abs. 2 AHVV aber eng ausgelegt. Deshalb ist die Frage, ob ein anderes wesentliches Interesse im Sinne von Art. 121 Abs. 2 AHVV besteht, nicht weiter zu prüfen, wenn ein Arbeitgeber oder eine Arbeitgeberin Mitglied des eigenen Berufsverbands wird. Ein Beitritt zu einem branchenfremden Verband begründet hingegen die Vermutung, dieser bezwecke ausschliesslich den Anschluss an die betreffende Ausgleichskasse. Art. 121 Abs. 2 AHVV hat somit insbesondere die Funktion, das allgemeine Rechtsmissbrauchsverbot zu konkretisieren. Ein Betrieb soll nicht ein vom Gesetzgeber nicht vorgesehenes Wahlrecht hinsichtlich einer bestimmten Ausgleichskasse ausüben können, indem er einem Gründerverein beitritt, obwohl ihn mit diesem Verein nichts verbindet. Die Verordnungsbestimmung kann jedoch - mangels entsprechender Gesetzesdelegation (vgl. Art. 64 Abs. 4 AHVG) - lediglich das Gesetz weiter ausführen, nicht aber abändern; sie darf die Rechte der Betroffenen nicht (weiter) einschränken oder ihnen neue Pflichten auferlegen (vgl. Ulrich Häfelin/Georg Müller/Felix Uhlmann, Allgemeines Verwaltungsrecht, 6. Aufl., Zürich/St. Gallen 2010, Rz. 136 ff., BGE 136 I 29 E. 3.3).</w:t>
      </w:r>
    </w:p>
    <w:p>
      <w:r>
        <w:rPr>
          <w:b/>
        </w:rPr>
        <w:t>E. 4.6</w:t>
      </w:r>
    </w:p>
    <w:p>
      <w:r>
        <w:t>Vor diesem Hintergrund kann der von der Beschwerdeführerin vertretenen Ansicht, wonach sich ein wesentliches Interesse im Sinne von Art. 121 Abs. 2 AHVV aufgrund einer Kosten-Nutzen-Analyse ergeben müsse, nicht gefolgt werden. In diesem Zusammenhang ist auch darauf hinzuweisen, dass die KSB AG, als juristische Person des Privatrechts, Trägerin der Vereinigungs- und Koalitionsfreiheit (Art. 23 und Art. 28 der Bundesverfassung der Schweizerischen Eidgenossenschaft vom 18. April 1999 [BV, SR 101]) ist und - unabhängig davon, ob ein Grundrechtseingriff vorliegt - Verordnungsbestimmungen grundrechtskonform auszulegen sind (vgl. Art. 35 Abs. 1 BV, siehe auch Thomas Gächter in: Staatsrecht, Giovanni Biaggini/Thomas Gächter/Regina Kiener [Hrsg], Zürich/St. Gallen 2011, § 30 Rz. 50, Rainer J. Schweizer, in: Die schweizerische Bundesverfassung, Kommentar, Bernhard Ehrenzeller et al. [Hrsg.], 2. Aufl., Zürich 2008, Rz. 6 zu Art. 35, René Rhinow/Markus Schefer, Schweizerisches Verfassungsrecht, 2. Aufl., Basel 2009, Rz. 1144). Ob ein im Wesentlichen von der öffentlichen Hand und der sozialen Krankenkasse finanziertes Unternehmen ein Interesse daran haben kann bzw. darf, Mitglied einer Organisation zu sein, die sich für tiefere Steuern und weniger Staat einsetzt, ist deshalb nicht entscheidend.</w:t>
      </w:r>
    </w:p>
    <w:p>
      <w:r>
        <w:rPr>
          <w:b/>
        </w:rPr>
        <w:t>E. 4.7</w:t>
      </w:r>
    </w:p>
    <w:p>
      <w:r>
        <w:t>Die AIHK ist laut Statuten ein als Verein konstituierter Zusammenschluss von Unternehmungen der Bereiche Industrie, Handel und Dienstleistung.</w:t>
      </w:r>
    </w:p>
    <w:p>
      <w:r>
        <w:rPr>
          <w:b/>
        </w:rPr>
        <w:t>E. 4.7.1</w:t>
      </w:r>
    </w:p>
    <w:p>
      <w:r>
        <w:t>Der Verein bezweckt, für die wirtschaftliche Tätigkeit seiner Mitglieder im Rahmen ihrer Gesamtverantwortung die bestmöglichen Voraussetzungen zu schaffen und zu erhalten. Er unterstützt die Mitglieder in der Erfüllung ihrer Aufgaben als Unternehmer und Arbeitgeber. Er fördert das Verständnis für die Wirtschaft in Staat und Gesellschaft sowie bei den Sozialpartnern (Art. 1 Abs. 2 bis 5 AIHK-Statuten vom 31. Mai 2001 [im Folgenden: Statuten; act. 8 B 1]). Mitglied werden können namentlich Firmen, welche im Kanton Aargau oder in den angrenzenden Gebieten der Nachbarkantone einen Geschäftssitz, eine Niederlassung oder eine Betriebsstätte haben (Art. 2 Abs. 1 Statuten).</w:t>
      </w:r>
    </w:p>
    <w:p>
      <w:r>
        <w:rPr>
          <w:b/>
        </w:rPr>
        <w:t>E. 4.7.2</w:t>
      </w:r>
    </w:p>
    <w:p>
      <w:r>
        <w:t>Die AIHK ist ein branchenübergeordneter Verband. Dementsprechend sind die Zielsetzungen weit formuliert und der Mitgliederbestand ist breit gefächert. Aufgrund der Statuten kann nicht der Schluss gezogen werden, die Interessenverfolgung der KSB AG werde vom Vereinszweck der AIHK nicht unmittelbar miterfasst. Der Zugang zum Netzwerk und zu den Dienstleistungen der AIHK kann daher - wie die Vorinstanz in ihrem Entscheid eingehend dargelegt hat - im Interesse der KSB AG liegen. In welchem Umfang die KSB AG von den Dienstleistungen (Rechtsberatung und Schulungsangebote) der AIHK profitieren will, wird die Beschwerdegegnerin 2 nach eigenem Ermessen entscheiden und ist vorliegend nicht von Bedeutung. Insbesondere ist aber nicht ersichtlich, weshalb die Kantonsspital Aarau AG, die seit 1. Januar 2007 der AK AIHK angeschlossen ist, ein anderes wesentliches Interesse im Sinne von Art. 121 Abs. 2 AHVV haben soll, nicht aber die KSB AG.</w:t>
      </w:r>
    </w:p>
    <w:p>
      <w:r>
        <w:rPr>
          <w:b/>
        </w:rPr>
        <w:t>E. 4.8</w:t>
      </w:r>
    </w:p>
    <w:p>
      <w:r>
        <w:t>Zusammenfassend ergibt sich, dass die Vorinstanz das Übertrittsbegehren zu Recht gutgeheissen hat. Die Beschwerde erweist sich somit als unbegründet.</w:t>
      </w:r>
    </w:p>
    <w:p>
      <w:r>
        <w:rPr>
          <w:b/>
        </w:rPr>
        <w:t>E. 4.9</w:t>
      </w:r>
    </w:p>
    <w:p>
      <w:r>
        <w:t>Die Beschwerde an das Bundesverwaltungsgericht hat gemäss Art. 55 Abs. 1 VwVG aufschiebende Wirkung. Der von der Vorinstanz auf den 1. Januar 2010 festgesetzte Wechsel der Ausgleichskasse konnte daher noch nicht vollzogen werden. Ein rückwirkender Kassenwechsel würde erhebliche administrative Umtriebe mit sich bringen (BGE 102 V 213 E. 6, Urteil EVG H 175/99 vom 31. August 2001 E. 7 [publiziert in AHI 2001 S. 262 ff.]). Gemäss Art. 121 Abs. 5 AHVV kann der Wechsel von einer Ausgleichskasse zu einer andern grundsätzlich nur auf Jahresende erfolgen. Der Wechsel der KSB AG von der AK AG zur AK AIHK ist deshalb auf den 1. Januar 2013 festzulegen.</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mit dem geleisteten Kostenvorschuss (in gleicher Höhe) zu verrechnen.</w:t>
      </w:r>
    </w:p>
    <w:p>
      <w:r>
        <w:rPr>
          <w:b/>
        </w:rPr>
        <w:t>E. 5.2</w:t>
      </w:r>
    </w:p>
    <w:p>
      <w:r>
        <w:t>Der obsiegenden Partei kann von Amtes wegen oder auf Begehren eine Entschädigung für ihr erwachsene notwendige und verhältnismässig hohe Kosten zugesprochen werden (Art. 64 Abs. 1 VwVG). Die Vorinstanz als Bundesbehörde und die Beschwerdegegnerin 1 als eine mit öffentlichen Aufgaben betraute Organisation haben indessen keinen Anspruch auf Parteientschädigung (vgl. Art. 7 Abs. 3 VGKE, BGE 126 V 143 E. 4, Urteil EVG H 358/00 vom 8. Februar 2001 E. 4c, Urteil EVG H 149/01 vom 25. September 2001 E. 5b). Der nicht anwaltlich vertretenen Beschwerdegegnerin 2 sind keine verhältnismässig hohen Kosten entstanden, weshalb ihr ebenfalls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