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C-143/2007 vom 18. Dezember 2008</w:t>
      </w:r>
    </w:p>
    <w:p>
      <w:r>
        <w:t>Bundesverwaltungsgericht, 2008-12-18, FR</w:t>
      </w:r>
    </w:p>
    <w:p>
      <w:r>
        <w:rPr>
          <w:b/>
        </w:rPr>
        <w:t xml:space="preserve">Quelle: </w:t>
      </w:r>
      <w:r>
        <w:t>https://mcp.opencaselaw.ch/entscheid/bvger_C-143_2007</w:t>
      </w:r>
    </w:p>
    <w:p>
      <w:r>
        <w:t>FR: TAF C-143/2007 du 18 décembre 2008</w:t>
      </w:r>
    </w:p>
    <w:p>
      <w:r>
        <w:t>IT: TAF C-143/2007 del 18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 levée d'interdiction d'entrée en Suisse prononcées par l'ODM - lequel constitue une unité de l'administration fédérale telle que définie à l'art. 33 let. d LTAF - sont susceptibles de recours au TAF, qui statue définitivement (cf. art. 1 al. 2 LTAF en lien avec l'art. 83 let. c ch. 1 LTF).</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que l'ordonnance du 6 octobre 1986 limitant le nombre des étrangers (OLE, RO 1986 1791), l'ordonnance du 20 avril 1983 sur la procédure d'approbation en droit des étrangers (OPADE, RO 1983 535) et le règlement d'exécution du 1er mars 1949 de la loi fédérale sur le séjour et l'établissement des étrangers (RSEE, RO 1949 I 232).</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(art. 37 LTAF).</w:t>
      </w:r>
    </w:p>
    <w:p>
      <w:r>
        <w:rPr>
          <w:b/>
        </w:rPr>
        <w:t>E. 1.5</w:t>
      </w:r>
    </w:p>
    <w:p>
      <w:r>
        <w:t>X._______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des art. 8 et 29 al. 2 de la Constitution fédérale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3.2</w:t>
      </w:r>
    </w:p>
    <w:p>
      <w:r>
        <w:t>L'instance inférieure est entrée en matière sur la demande de réexamen du recourant, a procédé à un examen matériel et, sur cette base, rendu une nouvelle décision. Le Tribunal dispose par conséquent d'un plein pouvoir d'examen pour déterminer si l'interdiction d'entrée qui frappe X._______ est encore conforme au droit fédéral. En revanche, la question de savoir si la première décision était justifiée ne fait plus l'objet de la présente procédure (cf. ATAF 2008/24 consid. 2.2 p. 351 et les références).</w:t>
      </w:r>
    </w:p>
    <w:p>
      <w:r>
        <w:rPr>
          <w:b/>
        </w:rPr>
        <w:t>E. 4.1</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63.38 consid. 13 et 63.1 consid. 12a et références citées).</w:t>
      </w:r>
    </w:p>
    <w:p>
      <w:r>
        <w:rPr>
          <w:b/>
        </w:rPr>
        <w:t>E. 4.2</w:t>
      </w:r>
    </w:p>
    <w:p>
      <w:r>
        <w:t>En matière de condamnations pour trafic de stupéfiants, le Tribunal fédéral a une pratique particulièrement stricte (cf. Alain Wurzburger, La jurisprudence récente du Tribunal fédéral en matière de police des étrangers, Revue de droit administratif et fiscal [RDAF] I 1997, p. 267-355). Selon lui, la protection de la collectivité publique face au développement du trafic de la drogue constitue incontestablement un intérêt public prépondérant justifiant l'éloignement de Suisse d'un étranger mêlé au commerce de stupéfiants (ATF 125 II 521 consid. 4a/aa; arrêt du Tribunal fédéral 2C_269/2007 du 8 octobre 2007 consid. 4.2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des stupéfiants doivent donc s'attendre à faire l'objet de mesures d'éloignement (arrêt du Tribunal fédéral 2C_269/2007 précité consid. 4.2). La pratique sévère adoptée par les autorités helvétiques à l'égard des personnes qui sont mêlées de près ou de loin au trafic de drogue correspond du reste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(cf. également arrêt du Tribunal fédéral 2C_351/2008 du 22 octobre 2008 consid. 2.3).</w:t>
      </w:r>
    </w:p>
    <w:p>
      <w:r>
        <w:rPr>
          <w:b/>
        </w:rPr>
        <w:t>E. 5</w:t>
      </w:r>
    </w:p>
    <w:p>
      <w:r>
        <w:t>En l'espèce, l'intéressé, dans sa demande de réexamen, a invoqué son mariage puis, dans ses autres écritures, la naissance de ses trois enfants. Il s'agit là de faits nouveaux.</w:t>
      </w:r>
    </w:p>
    <w:p>
      <w:r>
        <w:rPr>
          <w:b/>
        </w:rPr>
        <w:t>E. 5.1</w:t>
      </w:r>
    </w:p>
    <w:p>
      <w:r>
        <w:t>Ce faisant, le recourant se prévaut implicitement de son droit à la protection de la vie privée et familiale, concrétisé notamment par l'art. 8 §1 de la Convention du 4 novembre 1950 de sauvegarde des droits de l'homme et des libertés fondamentales (CEDH, RS 0.101), pour empêcher la division de sa famille et s'opposer ainsi à l'ingérence des autorités dans son droit protégé. Le droit au respect de la vie familiale n'est toutefois pas absolu et peut être restreint au terme d'une pesée des intérêts en présence.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 Dans l'hypothèse d'une interdiction d'entrée en Suisse, la pesée des intérêts en présence diffère de celle à laquelle il faut procéder lors de l'examen de la proportionnalité de la déchéance du droit à l'autorisation de séjour. L'intérêt public à soumettre une personne à des mesures de contrôle concernant son entrée sur le territoire suisse pèse en effet moins lourd que dans le cas d'une autorisation de séjour, de sorte que l'intérêt privé peut être moins important pour s'avérer prépondérant (cf. arrêt du Tribunal administratif fédéral C-554/2006 du 23 octobre 2008 consid. 9.4).</w:t>
      </w:r>
    </w:p>
    <w:p>
      <w:r>
        <w:rPr>
          <w:b/>
        </w:rPr>
        <w:t>E. 5.2.1</w:t>
      </w:r>
    </w:p>
    <w:p>
      <w:r>
        <w:t>L'interdiction d'entrée prononcée à l'encontre de X._______ l'a été en raison de sa très lourde condamnation pour trafic de stupéfiants. Celle-ci est relativement ancienne, puisqu'elle remonte à 1992. Toutefois, depuis sa libération en 1998, contrairement à ce qu'allègue l'intéressé, il ressort du dossier qu'il n'a pas eu un comportement irréprochable, enfreignant à moultes reprises les prescriptions de police des étrangers. Il est ainsi entré illégalement en Suisse en 2004, en dépit de l'interdiction d'entrée dont il avait parfaitement connaissance, puisqu'il avait interjeté recours contre cette décision. Par la suite, il a menti à deux reprises pour cacher cet élément aux autorités de police des étrangers. X._______ a également continué à travailler et séjourner en Suisse sans autorisation, ce dont attestent les deux condamnations pénales dont il a fait l'objet de la part des autorités judiciaires vaudoises, la dernière datant de novembre 2007. Par ailleurs, le recourant a sciemment laissé croire au Tribunal qu'il s'était conformé à la décision de renvoi et avait quitté la Suisse pour la Macédoine, puisque son mandataire a fait part le 25 juillet 2007 de ce que son client avait une adresse à l'étranger. Or, l'intéressé a comparu en personne devant le Tribunal d'arrondissement de La Côte le 27 novembre 2007. Devant cette attitude, l'autorité de céans estime que X._______ a démontré qu'il n'était toujours pas capable de se conformer à l'ordre établi et continuait de représenter un danger potentiel pour l'ordre et la collectivité publics, dont les autorités administratives sont précisément appelées à assurer la protection. Il existe dès lors actuellement encore un intérêt public à maintenir le recourant éloigné de Suisse. C'est également la conclusion à laquelle le Tribunal administratif du canton de Vaud a abouti dans son jugement du 12 septembre 2006, nonobstant le jugement incident du 28 mars 2006 rendu sur la base d'un examen prima facie du dossier. Il apparaît toutefois que les dernières infractions commises, en particulier celles jugées le 22 novembre 2007, sont d'une gravité moindre par rapport aux faits qui ont motivé la condamnation de 1992, laquelle été prononcée il y a plus de seize ans et demi.</w:t>
      </w:r>
    </w:p>
    <w:p>
      <w:r>
        <w:rPr>
          <w:b/>
        </w:rPr>
        <w:t>E. 5.2.2</w:t>
      </w:r>
    </w:p>
    <w:p>
      <w:r>
        <w:t>L'intérêt privé du recourant est ici celui de pouvoir rendre visite à son épouse et à ses trois enfants en Suisse, attendu qu'il ne bénéficie pas d'une autorisation de séjour annuelle. Or, la mesure actuellement en vigueur impose à la famille de X._______ une restriction quasi définitive quant à la possibilité de se rencontrer en Suisse, puisque la mesure est de durée indéterminée. Le Tribunal observe en outre que le déplacement du seul recourant en Suisse est plus aisé et moins onéreux que celui de son épouse et de leurs trois enfants, respectivement quatre avec la fille aînée de Y._______, en Macédoine. S'agissant de l'opération au genou invoquée par le recourant, si tant est qu'elle soit encore d'actualité, outre qu'il n'est pas établi qu'elle devrait nécessairement être effectuée en Suisse, il s'impose de mentionner que même en cas d'admission du recours et d'annulation de la décision entreprise, le recourant ne serait pas autorisé à séjourner durablement en Suisse pour y bénéficier de traitements médicaux de longue durée, mais uniquement à entrer ponctuellement dans ce pays, sous réserve de l'octroi d'une autorisation d'entrée.</w:t>
      </w:r>
    </w:p>
    <w:p>
      <w:r>
        <w:rPr>
          <w:b/>
        </w:rPr>
        <w:t>E. 5.3</w:t>
      </w:r>
    </w:p>
    <w:p>
      <w:r>
        <w:t>Au vu des intérêts public et privé en présence, le maintien de l'interdiction d'entrée pour une durée indéterminée constituerait une violation du principe de la proportionnalité. Il convient dès lors de réduire cette durée, en tenant compte de l'écoulement du temps et de l'ensemble des intérêts en présence, en particulier de la situation familiale du recourant et du fait que la mesure d'éloignement a déployé ses effets jusqu'au 22 novembre 2004. Le Tribunal estime par conséquent qu'une durée limitée au 30 juin 2010 est conforme au droit et à la pratique en la matière.</w:t>
      </w:r>
    </w:p>
    <w:p>
      <w:r>
        <w:rPr>
          <w:b/>
        </w:rPr>
        <w:t>E. 6</w:t>
      </w:r>
    </w:p>
    <w:p>
      <w:r>
        <w:t>Il ressort de ce qui précède que le recours doit être partiellement admis. Cela étant, il y a lieu de mettre une partie des frais de procédure, soit Fr. 400.-, à la charge du recourant (art. 63 al. 1 PA). Conformément à l'art. 64 al. 1 PA et dans la mesure où le recourant a eu partiellement gain de cause, il y a lieu d'allouer à ce dernier une indemnité réduite à titre de dépens. Tenant compte de l'ensemble des circonstances du cas, de l'importance de l'affaire, du degré de difficulté de cette dernière et de l'ampleur du travail accompli par son conseil, le Tribunal estime, au regard des art. 8ss du règlement du 21 février 2008 concernant les frais, dépens et indemnités fixés par le Tribunal administratif fédéral (FITAF, RS 173.320.2), que le versement d'un montant de Fr. 800.-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