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C-1429/2013 vom 12. August 2013</w:t>
      </w:r>
    </w:p>
    <w:p>
      <w:r>
        <w:t>Bundesverwaltungsgericht, 2013-08-12, DE</w:t>
      </w:r>
    </w:p>
    <w:p>
      <w:r>
        <w:rPr>
          <w:b/>
        </w:rPr>
        <w:t xml:space="preserve">Quelle: </w:t>
      </w:r>
      <w:r>
        <w:t>https://mcp.opencaselaw.ch/entscheid/bvger_C-1429_2013</w:t>
      </w:r>
    </w:p>
    <w:p>
      <w:r>
        <w:t>FR: TAF C-1429/2013 du 12 août 2013</w:t>
      </w:r>
    </w:p>
    <w:p>
      <w:r>
        <w:t>IT: TAF C-1429/2013 del 12 agosto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zur Beschwerde legitimiert (Art. 48 Abs. 1 VwVG). Auf die sowohl frist- als auch formgerechte (Art. 52 Abs. 1 VwVG) Beschwerde ist somit einzutreten.</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sowie BVGE 2011/1 E. 2). 3.1 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Die Behörde kann aus humanitären oder anderen wichtigen Gründen von der Verhängung eines Einreiseverbots absehen oder ein Einreiseverbot vollständig oder vorüber­gehend aufheben (Art. 67 Abs. 5 AuG). 3.2 Wird gegen eine Person, die nicht das Bürgerrecht eines Mitglied­staates der Europäischen Union (EU) besitzt, ein Ein­reiseverbot verhängt, so wird sie in der Regel im Schengener Informationssystem (SIS) zur Einreiseverweigerung ausgeschrieben (vgl. die Art. 21 und Art. 24 der Verordnung [EG] Nr. 1987/2006 vom 20. Dezember 2006 über die Einrichtung, den Betrieb und die Nutzung des Schengener Informationssystems der zweiten Generation [SIS II], ABl. L 381 vom 28. Dezember 2006, S. 4-23 [nachfolgend SIS-II-VO], welche per 9. April 2013 die in den hier relevanten Punkten gleichlautenden Art. 94 und Art. 96 des Schengener Durchführungsübereinkommens [SDÜ, Abl. L 239 vom 22. September 2000, S. 19 62] abgelöst haben [vgl. den Beschluss des Rates 2013/158/EU vom 7. März 2013, Abl. L 87 vom 27. März 2013, S. 10-11 i.V.m. Art. 52 Abs. 1 SIS-II-VO]). Damit wird dem Betroffenen die Einreise in das Hoheitsgebiet der Schengen-Mitglied­staaten verboten (vgl. Art. 5 Abs. 1 Bst. d sowie Art. 13 Abs. 1 Schengener Grenzkodex [SGK, Abl. L 105 vom 13. April 2006, S. 1-32]). Die Mitgliedstaaten können einer solchen Person aus humanitären Gründen oder Gründen des nationalen Interesses oder aufgrund in­ternationaler Verpflichtungen die Einreise in das eigene Hoheitsgebiet gestatten bzw. ihr ein Schengen-Visum mit räumlich beschränkter Gül­tigkeit ausstellen (vgl. Art. 13 Abs. 1 i.V.m. Art. 5 Abs. 4 Bst. c SGK sowie Art. 25 Abs. 1 Bst. a [ii] Visakodex, Abl. L 243 vom 15. September 2009). 3.3 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gegen das Ausländerrecht fallen unter diese Begriffsbestimmung und können ein Einreiseverbot nach sich ziehen (vgl. Botschaft, a.a.O., S. 3813).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 (vgl. Urteil des Bundesverwaltungs­gerichts C 820/2009 vom 9. März 2011 E. 5 mit Hinweisen). 4.1 Die Vorinstanz stützt das Einreiseverbot auf Art. 67 Abs. 2 Bst. a AuG. Die Beschwerdeführerin sei vom 12. Februar 2012 bis 29. Februar (recte: April) 2012, vom 11. August 2012 bis 1. November 2012 und vom 10. Februar 2013 bis 14. Februar 2013 in der Schweiz erwerbstätig gewesen, ohne im Besitz der erforderlichen ausländerrechtlichen Bewilligung zu sein. Damit liege gemäss ständiger Praxis ein schwerer Verstoss gegen die öffentliche Sicherheit und Ordnung vor. 4.2 Vorliegend steht ausser Frage, dass die Beschwerdeführerin anlässlich ihres Aufenthalts in der Schweiz einer unbewilligten Erwerbstätigkeit nachgegangen ist, gilt doch als Erwerbstätigkeit jede üblicherweise gegen Entgelt ausgeübte unselbstständige oder selbstständige Tätigkeit, selbst wenn sie - wie in casu - unentgeltlich erfolgte (Art. 11 Abs. 2 AuG). Ohne Belang für die Qualifikation als (unselbstständige) Erwerbstätigkeit ist unter anderem weiter, ob die Beschäftigung nur stunden- oder tageweise oder vorübergehend ausgeübt wird (Art. 1a Abs. 1 VZAE). Die Beschwerdeführerin selbst stellt zu Recht nicht in Abrede, anlässlich ihrer Aufenthalte in der Schweiz die Tochter ihrer Freundin gehütet zu haben. Diesbezüglich gilt es im Übrigen auch auf den rechtskräftigen Strafbefehl der Staatsanwaltschaft See / Oberland vom 14. Februar 2013 zu verweisen, von dem vorliegend nicht abzuweichen ist (vgl. dazu BGE 136 II 447 E. 3.1). Sie macht hingegen geltend, sie habe sich aus Unwissenheit des Gesetzes durch das Hüten des Babys ihrer Freundin, welches ihr sehr nahe stehe, strafbar gemacht und sei sich der Strafbarkeit dieser Handlung offensichtlich nicht bewusst gewesen. Erst bei der polizeilichen Einvernahme sei ihr klar geworden, dass sie sich einer Straftat schuldig gemacht habe. Sie habe bis anfangs 2013 im Sekretariat der [...] gearbeitet und habe über einen einwandfreien Leumund verfügt. Sie hätte sich nie um die Tochter ihrer Freundin gekümmert, wenn ihr bewusst gewesen wäre, dass dies strafbar sei. Mit dieser Argumentation verkennt die Beschwerdeführerin, dass für die Verhängung eines Einreiseverbots kein vorsätzlicher Verstoss gegen ausländerrechtliche Bestimmungen erforderlich ist, sondern eine Fernhaltemassnahme bereits dann gerechtfertigt ist, wenn der ausländischen Person eine Sorgfaltspflichtverletzung zugerechnet werden kann. Unkenntnis oder Fehlinterpretationen der Einreise- oder Aufenthaltsvorschriften stellen normalerweise keinen hinreichenden Grund für ein Absehen von einer Fernhaltemassnahme dar. Von einer ausländischen Person kann denn auch erwartet werden, sich rechtzeitig über die sie betreffenden ausländerrechtlichen Rechte und Pflichten zu informieren (vgl. Urteil des Bundesverwaltungsgerichts C-4463/2008 vom 29. April 2009 E. 5.4 mit Hinweisen). 4.3 Ohne Belang ist, dass der Beschwerdeführerin das Kind ihrer Freundin sehr nahe steht bzw. sie dieses in ihr Herz geschlossen habe. Insbesondere begründet dieser Umstand noch keine Ausnahme von der Bewilligungspflicht. Eine solche kommt höchstens in Fällen in Betracht, in welchen die Arbeitsleistungen im Haushalt und/oder Familie durch nahe Verwandte vorgenommen werden und gerade wegen der verwandtschaftlichen und emotionalen Nähe der betreuenden zur betreuten Person nicht durch diejenige einer Drittperson ersetzt werden könnten, ohne dass der besondere Charakter der Tätigkeit verloren ginge (vgl. Urteil des Bundesverwaltungsgerichts C-7263/2008 vom 31. August 2010 E. 5.1.2 mit Hinweisen). Davon kann vorliegend bereits aufgrund des fehlenden verwandschaftlichen Verhältnisses zwischen der Beschwerdeführerin und dem Kind ihrer Freundin nicht ausgegangen werden, womit es sich erübrigt, auf die weiteren Vorbringen, primär sei der Sohn ihrer Freundin für die Betreuung des Kindes zuständig; ihre Gastgeberin gehe auch dann einer Erwerbstätigkeit nach, wenn sie sich nicht in der Schweiz aufhalte, einzugehen (vgl. dazu ausführlich Philipp Egli / Tobias D. Meyer, in: Martina Caroni / Thomas Gächter / Daniela Thurn­herr [Hrsg.], Stämpflis Handkommentar zum Bundesgesetz über die Auslän­derinnen und Ausländer, Bern 2010, Art. 11 N. 8 sowie Marc Spescha in: Spescha/Thür/Zünd/Bolzli [Hrsg.], Kommentar Migrationsrecht, 3. Auflage, Zürich 2012, Art. 11 AuG N 3). 4.4 Auch die beschwerdeweise getätigte, pauschale und nicht weiter substantiierte Ausführung, X._______ habe sich nicht jeden Tag um das Kind ihrer Freundin gekümmert, ist nicht geeignet, die Verhängung einer Fernhaltemassnahme in Frage zu stellen. Nicht näher bekannt ist zudem, wie lange sich die Beschwerdeführerin anlässlich ihrer Besuche in der Schweiz auch noch bei Verwandten in Deutschland aufgehalten habe. Diesbezügliche Beweise hätte die Beschwerdeführerin erbringen müssen. 4.5 Durch die Erwerbstätigkeit ohne Bewilligung hat die Beschwerdeführerin ohne Zweifel den Fernhaltegrund nach Art. 67 Abs. 2 Bst. a AuG gesetzt. Zudem wurde sie mit Verfügung des Migrationsamtes des Kantons Zürich vom 15. Februar 2013 aus der Schweiz weggewiesen, wobei die Wegweisung sofort vollstreckt wurde (vgl. Art. 64d Abs. 2 Bst. a AuG). Damit ist vorliegend auch der Fernhaltegrund des Art. 67 Abs. 1 Bst. a AuG erfüllt. 4.6 Zusammenfassend ist festzuhalten, dass hinreichende Gründe für die Verhängung einer Fernhaltemassnahme vorliegen.</w:t>
      </w:r>
    </w:p>
    <w:p>
      <w:r>
        <w:rPr>
          <w:b/>
        </w:rPr>
        <w:t>E. 5.1</w:t>
      </w:r>
    </w:p>
    <w:p>
      <w:r>
        <w:t>Es bleibt zu prüfen, ob die Massnahme in richtiger Ausübung des Ermessens ergangen und angemessen ist. Der Grundsatz der Verhältnismässigkeit steht dabei im Vordergrund. Unter diesem Gesichtspunkt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Zürich/St. Gallen 2010, Rz. 613 ff.).</w:t>
      </w:r>
    </w:p>
    <w:p>
      <w:r>
        <w:rPr>
          <w:b/>
        </w:rPr>
        <w:t>E. 5.2</w:t>
      </w:r>
    </w:p>
    <w:p>
      <w:r>
        <w:t>Aufgrund obgenannter Sachverhaltsfeststellung gilt es als erwiesen, dass die Beschwerdeführerin über eine gewisse Zeit hinweg eine nicht bewilligte Erwerbstätigkeit ausübte und deshalb aus der Schweiz weggewiesen wurde. Wie bereits an obiger Stelle ausgeführt, setzt die Missachtung einer ausländerrechtlichen Bestimmung kein vorsätzliches Verhalten voraus. Negativ ins Gewicht fällt, dass sie innerhalb eines Jahres anlässlich dreier verschiedenen Aufenthalte in der Schweiz während mehreren Monate (zumindest zeitweise) das Kind ihrer Freundin beaufsichtigte und somit über eine beachtliche Zeit hinweg ausländerrechtliche Normen missachtete, denen zur Wahrung einer funktionierenden Rechtsordnung zentrale Bedeutung zukommt. Dass sie das gesamte Verfahren sehr mitgenommen habe ist nachvollziehbar, allerdings gilt es im Rahmen der Interessenabwägung - abgesehen von der aktuellen Gefährdung der öffentlichen Ordnung und Sicherheit, die von der betroffenen Person ausgeht - auch generalpräventive Gesichtspunkte zu berücksichtigen (vgl. Urteil des Bundesgerichts 2C_679/2011 vom 21. Februar 2012 E. 3. 1), wobei hier insbesondere der Schutz der ausländerrechtlichen Ordnung durch eine konsequente Massnahmepraxis ins Gewicht fällt. Zudem liegt eine spezialpräventive Zielsetzung der Massnahme darin, die betroffene Person zu ermahnen, bei einer allfälligen künftigen Wiedereinreise in die Schweiz nach Ablauf der Dauer des Einreiseverbots die für sie geltenden Regeln einzuhalten (vgl. Urteil des Bundesverwaltungsgerichts C-2771/2010 vom 3. Februar 2012 E. 6.1). Vor diesem Hintergrund besteht ein gewichtiges öffentliches Interesse an der Fernhaltung der Beschwerdeführerin.</w:t>
      </w:r>
    </w:p>
    <w:p>
      <w:r>
        <w:rPr>
          <w:b/>
        </w:rPr>
        <w:t>E. 5.3</w:t>
      </w:r>
    </w:p>
    <w:p>
      <w:r>
        <w:t>An persönlichen Interessen bringt die Beschwerdeführerin vor, das Einreiseverbot beeinträchtige ihre Bewegungsfreiheit innerhalb des gesamten Schengenraums sowie ihre Beziehungen zu Familie und Freunden in Deutschland und in der Schweiz. Diese lediglich sehr pauschal gehaltene Aussage rechtfertigt es hingegen nicht, von einem Einreiseverbot abzusehen. Immerhin ist es der Beschwerdeführerin möglich, während der Gültigkeit des Einreiseverbots auch auf andere Weise mit ihren Verwandten und Freunden im Schengenraum zu kommunizieren (z.B. Briefverkehr, Telefonie, Internet usw.). Sodann kann das Einreiseverbot nach Art. 65 Abs. 5 AuG auf begründetes Gesuch hin aus wichtigen Gründen befristet suspendiert werden. Auch die übrigen Schengen-Staaten kennen in ähnlicher Weise die Möglichkeit, die Einreise in das eigene Hoheitsgebiet ungeachtet eines Einreiseverbots unter bestimmten Voraussetzungen zu gestatten.</w:t>
      </w:r>
    </w:p>
    <w:p>
      <w:r>
        <w:rPr>
          <w:b/>
        </w:rPr>
        <w:t>E. 5.4</w:t>
      </w:r>
    </w:p>
    <w:p>
      <w:r>
        <w:t>Sofern sich die Beschwerdeführerin im Zusammenhang mit zwischenmenschlichen Beziehungen auf Art. 8 Abs. 1 der Konvention vom 4. November 1950 zum Schutze der Menschenrechte und Grundfreiheiten (EMRK, SR 0.101) bezieht, gilt es auszuführen, dass weder geltend gemacht wird noch sich aus den Akten ergibt, dass es sich in vorliegendem Verfahren überhaupt um schützenswerte familiäre Beziehungen, d.h. um ein Familienleben im Sinne von Art. 8 EMRK sowie Art. 13 der Bundesverfassung der Schweizerischen Eidgenossenschaft vom 18. April 1999 (BV, SR 101) handelt (vgl. dazu MARK E. VILLIGER, Handbuch der Europäischen Menschenrechtskonvention [EMRK], 2. Aufl., Zürich 1999, Rz 572 sowie BGE 125 II 521 E. 5 S. 529, BGE 120 Ib 257 E. 1d S. 261). Letztlich kann diese Frage jedoch offen bleiben, wäre doch ein Eingriff in eine geschützte Grundrechtsposition gestützt auf Art. 8 Ziff. 2 EMRK ohnehin als zulässig zu betrachten.</w:t>
      </w:r>
    </w:p>
    <w:p>
      <w:r>
        <w:rPr>
          <w:b/>
        </w:rPr>
        <w:t>E. 5.5</w:t>
      </w:r>
    </w:p>
    <w:p>
      <w:r>
        <w:t>Eine wertende Gewichtung der sich entgegenstehenden Interessen führt demnach zum Ergebnis, dass das Einreiseverbot sowohl vom Grundsatz her als auch in Bezug auf seine Dauer eine verhältnismässige und angemessene Massnahme zum Schutz der öffentlichen Sicherheit und Ordnung darstellt. Vollständigkeitshalber gilt darauf hinzuweisen, dass vorliegendes Verfahren gerade nicht mit dem in der Beschwerde zitierten Urteil des Bundesverwaltungsgerichts C-4463/2010 vom 14. August 2012 vergleichbar ist. Es handelt sich dort um unbewilligte Erwerbstätigkeit, welche lediglich wenige Stunden andauerte. Vorliegend hat die Beschwerdeführerin jedoch über mehrere Monate hinweg das Kind ihrer Freundin gehütet, ohne im Besitz der entsprechenden Bewilligung zu sein, womit die Verfahren bereits von ihrem zeitlichen Ablauf nicht miteinander vergleichbar sind. Aus diesen Erwägungen ergibt sich, dass die angefochtene Verfügung Bundesrecht nicht verletzt und den rechtserheblichen Sachverhalt richtig und vollständig feststellt; sie ist auch angemessen (vgl. Art. 49 VwVG). Die Beschwerde ist daher abzuweisen.</w:t>
      </w:r>
    </w:p>
    <w:p>
      <w:r>
        <w:rPr>
          <w:b/>
        </w:rPr>
        <w:t>E. 7</w:t>
      </w:r>
    </w:p>
    <w:p>
      <w:r>
        <w:t>Dem Ausgang des Verfahrens entsprechend wird die Beschwerdeführerin kostenpflichtig (Art. 63 Abs. 1 VwVG). In ihrer Beschwerde vom 18. März 2013 ersuchte sie um Gewährung der unentgeltlichen Rechtspflege im Sinne von Art. 65 Abs 1 und Abs. 2 VwVG. Mit schriftlicher Eingabe vom 25. April 2013 liess die Beschwerdeführerin dem Bundesverwaltungsgericht das ausgefüllte Formular "Gesuch um unentgeltliche Rechtspflege" zukommen und stellte gleichzeitig die Zusendung einer Bestätigung ihres Arbeitgebers mit Übersetzung innert zwei Wochen in Aussicht. Eine solche wurde dem Gericht hingegen bis heute nicht zugesandt. Ebenso fehlen Belege bezüglich der monatlichen Einkünfte (vgl. Formular "Gesuch um unentgeltliche Rechtspflege, S. 5, Ziffer V). Damit hat es die Beschwerdeführerin unterlassen, ihre Bedürftigkeit überhaupt nachzuweisen. Das Gesuch um unentgeltliche Rechtspflege ist daher abzuweisen. Bei dieser Sachlage kann offen gelassen werden, ob die Begehren nicht als von vornherein aussichtslos zu bezeichnen wären.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