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C-1424/2020 vom 6. April 2020</w:t>
      </w:r>
    </w:p>
    <w:p>
      <w:r>
        <w:t>Bundesverwaltungsgericht, 2020-04-06, DE</w:t>
      </w:r>
    </w:p>
    <w:p>
      <w:r>
        <w:rPr>
          <w:b/>
        </w:rPr>
        <w:t xml:space="preserve">Quelle: </w:t>
      </w:r>
      <w:r>
        <w:t>https://mcp.opencaselaw.ch/entscheid/bvger_C-1424_2020</w:t>
      </w:r>
    </w:p>
    <w:p>
      <w:r>
        <w:t>FR: TAF C-1424/2020 du 6 avril 2020</w:t>
      </w:r>
    </w:p>
    <w:p>
      <w:r>
        <w:t>IT: TAF C-1424/2020 del 6 aprile 2020</w:t>
      </w:r>
    </w:p>
    <w:p>
      <w:pPr>
        <w:pStyle w:val="Heading2"/>
      </w:pPr>
      <w:r>
        <w:t>Regeste</w:t>
      </w:r>
    </w:p>
    <w:p>
      <w:r>
        <w:t>Rentenanspruch</w:t>
      </w:r>
    </w:p>
    <w:p>
      <w:pPr>
        <w:pStyle w:val="Heading2"/>
      </w:pPr>
      <w:r>
        <w:t>Erwägungen</w:t>
      </w:r>
    </w:p>
    <w:p>
      <w:r>
        <w:rPr>
          <w:b/>
        </w:rPr>
        <w:t>E. 1</w:t>
      </w:r>
    </w:p>
    <w:p>
      <w:r>
        <w:t>Für die vereinigten Verfahren C-1106/2017 und C-757/2019 werden keine Verfahrenskosten erhoben.</w:t>
      </w:r>
    </w:p>
    <w:p>
      <w:r>
        <w:rPr>
          <w:b/>
        </w:rPr>
        <w:t>E. 2</w:t>
      </w:r>
    </w:p>
    <w:p>
      <w:r>
        <w:t>Dem Beschwerdeführer wird für die vereinigten Verfahren C-1106/2017 und C-757/2019 zu Lasten der Vorinstanz eine Parteientschädigung von Fr. 2'800.- zugesprochen.</w:t>
      </w:r>
    </w:p>
    <w:p>
      <w:r>
        <w:rPr>
          <w:b/>
        </w:rPr>
        <w:t>E. 3</w:t>
      </w:r>
    </w:p>
    <w:p>
      <w:r>
        <w:t>Für das vorliegende Verfahren werden keine Verfahrenskosten erhoben und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vorsitzende 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