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C-1422/2021 vom 1. März 2021</w:t>
      </w:r>
    </w:p>
    <w:p>
      <w:r>
        <w:t>Bundesverwaltungsgericht, 2021-03-01, DE</w:t>
      </w:r>
    </w:p>
    <w:p>
      <w:r>
        <w:rPr>
          <w:b/>
        </w:rPr>
        <w:t xml:space="preserve">Quelle: </w:t>
      </w:r>
      <w:r>
        <w:t>https://mcp.opencaselaw.ch/entscheid/bvger_C-1422_2021_d20210301</w:t>
      </w:r>
    </w:p>
    <w:p>
      <w:r>
        <w:t>FR: TAF C-1422/2021 du 1 mars 2021</w:t>
      </w:r>
    </w:p>
    <w:p>
      <w:r>
        <w:t>IT: TAF C-1422/2021 del 1 marzo 2021</w:t>
      </w:r>
    </w:p>
    <w:p>
      <w:pPr>
        <w:pStyle w:val="Heading2"/>
      </w:pPr>
      <w:r>
        <w:t>Regeste</w:t>
      </w:r>
    </w:p>
    <w:p>
      <w:r>
        <w:t>Rentenanspruch | Invalidenversicherung, Rentenberechnung (Verfügung vom 1. März 2021)</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IV-Stelle für Versi- cherte im Ausland. Es liegt keine Ausnahme im Sinne von Art. 32 VGG vor. Das Bundesverwaltungsgericht ist somit zur Beurteilung der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Nach Art. 1 IVG i.V.m. Art. 2 ATSG sind die Bestimmungen des ATSG auf die Invalidenversicherung an- wendbar (Art. 1a bis 26bis und Art. 28 bis 70), soweit das IVG nicht aus- drücklich eine Abweichung vom ATSG vorsieht.</w:t>
      </w:r>
    </w:p>
    <w:p>
      <w:r>
        <w:rPr>
          <w:b/>
        </w:rPr>
        <w:t>E. 1.3</w:t>
      </w:r>
    </w:p>
    <w:p>
      <w:r>
        <w:t>Der Beschwerdeführer ist durch die angefochtene Verfügung berührt und hat ein schutzwürdiges Interesse an deren Aufhebung oder Änderung,</w:t>
      </w:r>
    </w:p>
    <w:p>
      <w:r>
        <w:t>C-1422/2021 Seite 4 so dass er im Sinne von Art. 48 Abs. 1 VwVG (vgl. auch Art. 59 ATSG) beschwerdelegitimiert ist. Die Beschwerde wurde im Übrigen frist- und formgerecht (Art. 50 Abs. 1 und Art. 52 Abs. 1 VwVG) eingereicht und der Kostenvorschuss innert Frist geleistet (Art. 63 Abs. 4 VwVG). Da sämtliche Prozessvoraussetzungen erfüllt sind, ist auf die Beschwerde einzutreten.</w:t>
      </w:r>
    </w:p>
    <w:p>
      <w:r>
        <w:rPr>
          <w:b/>
        </w:rPr>
        <w:t>E. 2</w:t>
      </w:r>
    </w:p>
    <w:p>
      <w:r>
        <w:t>Anfechtungsobjekt und damit Begrenzung des Streitgegenstandes des vorliegenden Beschwerdeverfahrens (vgl. BGE 131 V 164 E. 2.1) bildet die rentenzusprechende Verfügung vom 1. März 2021. Dabei sind die von der Vorinstanz vorgenommene Würdigung des medizinischen Sachverhalts sowie die Invaliditätsbemessung unbestritten und geben mit Blick auf die Akten auch zu keinen Beanstandungen Anlass. Streitig und vom Bundes- verwaltungsgericht zu überprüfen ist demgegenüber der Betrag der IV- Rente bzw. die zugrunde liegende Rentenberechnung. Die nachfolgende Prüfung ist somit grundsätzlich auf diesen Streitpunkt zu beschränken (vgl. BGE 125 V 413 E. 2c mit Hinweisen).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Der Beschwerdeführer ist deutscher Staatsangehöriger,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 sprüchen gegenüber der Invalidenversicherung bzw. die vorliegend um- strittene Rentenberechnung beurteilt sich indes auch im Anwendungsbe- reich des FZA und der Koordinierungsvorschriften nach schweizerischem Recht (vgl. BGE 130 V 253 E. 2.4; Urteil des BGer 9C_573/2012 vom</w:t>
      </w:r>
    </w:p>
    <w:p>
      <w:r>
        <w:t>C-1422/2021 Seite 5 16. Januar 2013 E. 4; Art. 46 Abs. 3 und Anhang VII der Verordnung (EG) Nr. 883/2004).</w:t>
      </w:r>
    </w:p>
    <w:p>
      <w:r>
        <w:rPr>
          <w:b/>
        </w:rPr>
        <w:t>E. 3.3</w:t>
      </w:r>
    </w:p>
    <w:p>
      <w:r>
        <w:t>In zeitlicher Hinsicht sind – vorbehältlich besonderer übergangsrechtli- cher Regelungen – grundsätzlich diejenigen Rechtssätze massgeblich, die bei der Erfüllung des zu Rechtsfolgen führenden Tatbestandes Geltung ha- ben (BGE 143 V 446 E. 3.3; 139 V 335 E. 6.2; 138 V 475 E. 3.1). Deshalb finden vorliegend die Vorschriften Anwendung, die spätestens beim Erlass der Verfügung vom 1. März 2021 in Kraft standen; weiter aber auch Vor- schriften, die zu jenem Zeitpunkt bereits ausser Kraft getreten waren, die aber für die Beurteilung allenfalls früher entstandener Leistungsansprüche von Belang sind.</w:t>
      </w:r>
    </w:p>
    <w:p>
      <w:r>
        <w:rPr>
          <w:b/>
        </w:rPr>
        <w:t>E. 4</w:t>
      </w:r>
    </w:p>
    <w:p>
      <w:r>
        <w:t>Im Folgenden sind zunächst die gesetzlichen Grundlagen zur IV-Renten- berechnung darzulegen, wobei in zeitlicher Hinsicht auf die Fassungen ab- zustellen ist, welche im vorliegend massgeblichen Zeitpunkt des Eintritts der Invalidität im November 2019 (vgl. IVSTA-act. 87, S. 1) gegolten haben:</w:t>
      </w:r>
    </w:p>
    <w:p>
      <w:r>
        <w:rPr>
          <w:b/>
        </w:rPr>
        <w:t>E. 4.1</w:t>
      </w:r>
    </w:p>
    <w:p>
      <w:r>
        <w:t>Gemäss Art. 60 Abs. 1 lit. b IVG ist die Ausgleichskasse für die Berech- nung der Renten, Taggelder, Einarbeitungszuschüsse und Entschädigung für Betreuungskosten zuständig. Für die Berechnung der ordentlichen Renten sind die Bestimmungen des AHVG sinngemäss anwendbar (Art. 36 Abs. 2 Satz 1 IVG). Der Bundesrat kann ergänzende Vorschriften erlassen (Art. 36 Abs. 2 Satz 2 IVG). Gemäss Art. 32 Abs. 1 IVV der Verordnung über die Invalidenversicherung (IVV; SR 831.201) gelten die Art. 50-53bis der Verordnung vom 31. Oktober 1947 über die Alters- und Hinterlassenen- versicherung (AHVV, SR 831.101) sinngemäss für die ordentlichen Renten der Invalidenversicherung.</w:t>
      </w:r>
    </w:p>
    <w:p>
      <w:r>
        <w:rPr>
          <w:b/>
        </w:rPr>
        <w:t>E. 4.2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 ständiger Beitragsdauer oder in Form von Teilrenten für Versicherte mit un- vollständiger Beitragsdauer zur Ausrichtung. Als vollständig gilt die Bei- tragsdauer, wenn die rentenberechtigte Person zwischen dem 1. Januar nach der Vollendung des 20. Altersjahres und dem 31. Dezember vor Ein- tritt des Versicherungsfalles gleich viele Beitragsjahre aufweist wie ihr</w:t>
      </w:r>
    </w:p>
    <w:p>
      <w:r>
        <w:t>C-1422/2021 Seite 6 Jahrgang (Art. 29bis Abs. 1 i.V.m. Art. 29ter Abs. 1 AHVG). Als unvollständig gilt die Beitragsdauer, wenn eine Person eine geringere Zahl von Beitrags- jahren aufweist als ihr Jahrgang (Rz. 5056 der Wegleitung über die Renten in der Eidgenössischen Alters-, Hinterlassenen- und Invalidenversiche- rung, gültig ab 1. Januar 2003, Stand 1. Januar 2019 [nachfolgend: RWL]). Gemäss Art. 38 Abs. 1 AHVG entspricht die Teilrente einem Bruchteil der Vollrente. Bei der Berechnung des Bruchteils werden das Verhältnis zwi- schen den vollen Beitragsjahren des Versicherten zu denjenigen seines Jahrganges sowie die eingetretenen Veränderungen der Beitragsansätze berücksichtigt (Art. 38 Abs. 2 AHVG). Die Abstufung der Teilrenten wird in Art. 52 AHVV näher geregelt. Innerhalb der anwendbaren Rentenskala be- stimmt sich der Rentenbetrag nach Massgabe des durchschnittlichen Jah- reseinkommens. Dieses setzt sich grundsätzlich zusammen aus den Er- werbseinkommen, den Erziehungsgutschriften und den Betreuungsgut- schriften (Art. 29quater AHVG). Zur Ermittlung des massgebenden durch- schnittlichen Jahreseinkommens wird die Summe der Erwerbseinkommen entsprechend dem Rentenindex gemäss Artikel 33ter AHVG aufgewertet. Das BSV legt die Aufwertungsfaktoren jährlich fest (vgl. Art. 30 Abs. 1 AHVG und Art. 51bis Abs. 1 AHVV). Der Aufwertungsfaktor wird nach dem Kalenderjahr bestimmt, in welchem der massgebende erste IK-Eintrag vor- genommen wurde (vgl. Rz. 5301 RWL). Die Summe der aufgewerteten Er- werbseinkommen sowie die Erziehungs- oder Betreuungsgutschriften wer- den durch die Anzahl der Beitragsjahre geteilt (Art. 30 Abs. 2 AHVG; vgl. auch Rz. 5321 RWL). Anschliessend wird der Betrag auf den nächsthöhe- ren Tabellenwert des massgebenden durchschnittlichen Jahreseinkom- mens aufgerundet (vgl. Rz. 5101 RWL).</w:t>
      </w:r>
    </w:p>
    <w:p>
      <w:r>
        <w:rPr>
          <w:b/>
        </w:rPr>
        <w:t>E. 4.3</w:t>
      </w:r>
    </w:p>
    <w:p>
      <w:r>
        <w:t>Beitragszeiten zwischen dem 31. Dezember vor dem Eintritt des Versi- cherungsfalles und der Entstehung des Rentenanspruchs können zur Auf- füllung von Beitragslücken herangezogen werden. Die in diesem Zeitraum erzielten Erwerbseinkommen werden bei der Rentenberechnung aber nicht berücksichtigt (Art. 52c AHVV).</w:t>
      </w:r>
    </w:p>
    <w:p>
      <w:r>
        <w:rPr>
          <w:b/>
        </w:rPr>
        <w:t>E. 4.4</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w:t>
      </w:r>
    </w:p>
    <w:p>
      <w:r>
        <w:t>C-1422/2021 Seite 7</w:t>
      </w:r>
    </w:p>
    <w:p>
      <w:r>
        <w:rPr>
          <w:b/>
        </w:rPr>
        <w:t>E. 5.1</w:t>
      </w:r>
    </w:p>
    <w:p>
      <w:r>
        <w:t>Männer mit dem gleichen Jahrgang wie der Beschwerdeführer (1968) und Eintritt des Versicherungsfalles im Jahr 2019 weisen bei vollständiger Beitragsdauer 30 volle Versicherungsjahre auf (vgl. Rententabellen 2019, gültig ab 1. Januar 2019, vgl. unter www.sozialversicherungen.admin.ch &gt; AHV &gt; Grundlagen AHV &gt; Weisungen Renten, abgerufen am 1. Juni 2023, S. 8: Jahrgangstabellen). Der Beschwerdeführer hat zwischen dem 1. Ja- nuar nach Vollendung des 20. Altersjahres und dem 31. Dezember vor Ein- tritt der Invalidität eine Beitragsdauer von 15 Jahren und 11 Monaten er- reicht (vgl. IVSTA-act. 87, S. 2 f.). Zwischen dem 31. Dezember vor Eintritt der Invalidität und der Entstehung des Rentenanspruchs, d.h. vom 1. Ja- nuar 2019 bis 1. November 2019, weist der Beschwerdeführer zusätzlich eine Beitragszeit von vier Monaten auf (vgl. IVSTA-act. 87, S. 4), welche im Sinne von Art. 52c AHVV zur Auffüllung von Beitragslücken herangezo- gen werden können. Somit beträgt die Beitragsdauer des Beschwerdefüh- rers insgesamt 16 Jahren und 3 Monaten und erweist sich folglich als un- vollständig, womit nur Anspruch auf eine Teilrente bestehen kann. Ausge- hend von den 16 vollen Versicherungsjahren des Beschwerdeführers und den 30 vollen Versicherungsjahren des Jahrgangs (bei vollständiger Bei- tragsdauer) kommt vorliegend die Rentenskala 24 zur Anwendung (vgl. Rententabellen 2019, Skalenwähler, S. 10). Gemäss IK-Eintragungen be- trägt die während der für die Rentenberechnung zu berücksichtigenden Beitragsdauer von 15 Jahren und 11 Monaten erzielte Einkommenssumme Fr. 826'753.-. Beim vorliegend anwendbaren Aufwertungsfaktor von 1.000 (vgl. Rententabellen 2019, S. 15, Eintrittsabhängige pauschale Aufwer- tungsfaktoren: Aufwertungsfaktor 1.000 bei erstem IK-Eintrag im Jahr 2003 und Eintritt des Versicherungsfalles im Kalenderjahr 2019) bleibt die Ein- kommenssumme unverändert. Geteilt durch die massgebende Beitrags- dauer von 15 Jahren und 11 Monaten bzw. 191 Monaten und multipliziert mit 12, resultiert ein durchschnittliches Jahreseinkommen von Fr. 51'943.- (Fr. 826'753.- : 191 x 12). Nach Aufrundung dieses Betrags auf den nächst- höheren Tabellenwert ergibt sich vorliegend ein massgebendes durch- schnittliches Jahreseinkommen von Fr. 52'614.- (vgl. Rententabellen 2019, S. 58). Unter Anwendung der Rentenskala 24 und unter Berücksichtigung des massgebenden durchschnittlichen Jahreseinkommens von Fr. 52'614.- beträgt die monatliche Invalidenrente im Jahr 2019 Fr. 1'055.- (vgl. Rententabellen 2019, S. 58). Im Jahr 2021 resultiert nach Aufrundung des durchschnittlichen Jahreseinkommens von Fr. 51'943.- auf den nächst- höheren Tabellenwert ein massgebendes durchschnittliches Jahresein-</w:t>
      </w:r>
    </w:p>
    <w:p>
      <w:r>
        <w:t>C-1422/2021 Seite 8 kommen von Fr. 53'058.-, was zu einer monatlichen Invalidenrente von Fr. 1'064.- führt (vgl. Rententabellen 2021, gültig ab 1. Januar 2021, S. 60).</w:t>
      </w:r>
    </w:p>
    <w:p>
      <w:r>
        <w:rPr>
          <w:b/>
        </w:rPr>
        <w:t>E. 5.2</w:t>
      </w:r>
    </w:p>
    <w:p>
      <w:r>
        <w:t>Die entsprechende, der Verfügung vom 1. März 2021 zugrunde lie- gende Rentenberechnung der Vorinstanz, welche in der Vernehmlassung im Detail erklärt wurde, ist folglich nicht zu beanstanden. Auch der Be- schwerdeführer bringt nichts gegen die Rentenberechnung der Vorinstanz als solche vor. Insbesondere bestreitet er weder die Beitragsdauer noch die Höhe des massgebenden durchschnittlichen Jahreseinkommens. Er macht lediglich pauschal geltend, der zugesprochene Rentenbetrag sei zu tief und reiche nicht zum Leben. Dazu ist festzuhalten, dass die Rentenbe- rechnung gemäss Art. 29bis und Art. 29quater AHVG auf Grundlage der Bei- tragsdauer und des massgebenden durchschnittlichen Jahreseinkommens einer versicherten Person erfolgt, und dass für die Berücksichtigung ande- rer Gesichtspunkte, wie z. B. eine persönliche Härte oder wirtschaftliche Notlage, keine gesetzliche Grundlage besteht.</w:t>
      </w:r>
    </w:p>
    <w:p>
      <w:r>
        <w:rPr>
          <w:b/>
        </w:rPr>
        <w:t>E. 6</w:t>
      </w:r>
    </w:p>
    <w:p>
      <w:r>
        <w:t>Zusammengefasst ist somit festzuhalten, dass die Vorinstanz die Renten- berechnung korrekt vorgenommen hat. Die Beschwerde vom 26. März 2021 erweist sich als offensichtlich unbegründet, weshalb sie im einzelrich- terlichen Verfahren abzuweisen ist (Art. 23 Abs. 2 Bst. c VGG i.V.m. Art. 69 Abs. 2 IVG und Art. 85bis Abs. 3 AHVG).</w:t>
      </w:r>
    </w:p>
    <w:p>
      <w:r>
        <w:rPr>
          <w:b/>
        </w:rPr>
        <w:t>E. 7</w:t>
      </w:r>
    </w:p>
    <w:p>
      <w:r>
        <w:t>Zu befinden bleibt noch über die Verfahrenskosten und eine allfällige Par- teientschädigung.</w:t>
      </w:r>
    </w:p>
    <w:p>
      <w:r>
        <w:rPr>
          <w:b/>
        </w:rPr>
        <w:t>E. 7.1</w:t>
      </w:r>
    </w:p>
    <w:p>
      <w:r>
        <w:t>Entsprechend dem Ausgang des Verfahrens hat der Beschwerdeführer die Verfahrenskosten zu tragen (Art. 63 Abs. 1 VwVG). Diese sind vorlie- gend aufgrund des Aufwands auf Fr. 500.- festzusetzen. Dieser Betrag wird dem geleisteten Kostenvorschuss von Fr. 800.- entnommen. Der Restbe- trag von Fr. 300.- ist dem Beschwerdeführer nach Eintritt der Rechtskraft dieses Urteils zurückzuerstatten.</w:t>
      </w:r>
    </w:p>
    <w:p>
      <w:r>
        <w:rPr>
          <w:b/>
        </w:rPr>
        <w:t>E. 7.2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w:t>
      </w:r>
    </w:p>
    <w:p>
      <w:r>
        <w:t>C-1422/2021 Seite 9 [VGKE, SR 173.320.2]). Dem unterliegenden Beschwerdeführer ist ent- sprechend dem Verfahrensausgang keine Parteientschädigung zuzuspre- chen (Art. 64 Abs. 1 VwVG e contrario).</w:t>
      </w:r>
    </w:p>
    <w:p>
      <w:r>
        <w:t>(Für das Dispositiv wird auf die nächste Seite verwiesen.)</w:t>
      </w:r>
    </w:p>
    <w:p>
      <w:r>
        <w:t>C-1422/2021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