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C-1421/2013 vom 29. September 2014</w:t>
      </w:r>
    </w:p>
    <w:p>
      <w:r>
        <w:t>Bundesverwaltungsgericht, 2014-09-29, DE</w:t>
      </w:r>
    </w:p>
    <w:p>
      <w:r>
        <w:rPr>
          <w:b/>
        </w:rPr>
        <w:t xml:space="preserve">Quelle: </w:t>
      </w:r>
      <w:r>
        <w:t>https://mcp.opencaselaw.ch/entscheid/bvger_C-1421_2013</w:t>
      </w:r>
    </w:p>
    <w:p>
      <w:r>
        <w:t>FR: TAF C-1421/2013 du 29 septembre 2014</w:t>
      </w:r>
    </w:p>
    <w:p>
      <w:r>
        <w:t>IT: TAF C-1421/2013 del 29 settembre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act. 75). Als Adressat des angefochtenen Nichteintretensentscheids vom 6. Februar 2013 (act. 71) ist der Beschwerdeführer besonders berührt und hat ein schutzwürdiges Interesse an dessen Aufhebung oder Änderung (vgl. Art. 48 Abs. 1 VwVG). Nachdem ein Kostenvorschuss von Fr. 400.- fristgerecht überwiesen worden ist (B-act. 3), ergibt sich zusammenfassend, dass sämtliche Prozessvoraussetzungen erfüllt sind. Auf die Beschwerde ist daher einzutreten.</w:t>
      </w:r>
    </w:p>
    <w:p>
      <w:r>
        <w:rPr>
          <w:b/>
        </w:rPr>
        <w:t>E. 1.4</w:t>
      </w:r>
    </w:p>
    <w:p>
      <w:r>
        <w:t>Anfechtungsobjekt bildet die Verfügung der Vorinstanz vom 6. Februar 2013 (act. 71). Streitig und zu prüfen ist, ob die IVSTA mangels Glaubhaftmachung einer erheblichen Änderung des IV-Grades auf die Neuanmeldung des Beschwerdeführers zu Recht nicht eingetreten ist (vgl. hierzu BGE 132 V 74 E. 1.1 mit Hinweis).</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2.1.1</w:t>
      </w:r>
    </w:p>
    <w:p>
      <w:r>
        <w:t>Das Freizügigkeitsabkommen zwischen der Schweiz und der Europäischen Gemeinschaft wurde durch die Erweiterung der Europäischen Union am 1. Juli 2013 nicht auf den neuen Mitgliedstaat Kroatien ausgeweitet. Die bis zum 31. März 2012 in Kraft gewesenen Verordnungen (EWG) Nr. 1408/71 des Rates vom 14. Juni 1971 (SR 0.831.109.268.1) bzw. Nr. 574/72 über die Durchführung der Verordnung (EWG) Nr. 1408/71 (SR 0.831.109.268.11) und die am 1. April 2012 in Kraft getretenen Verordnungen (EG) Nr. 883/2004 des Europäischen Parlaments und des Rates vom 29. April 2004 zur Koordinierung der Systeme der sozialen Sicherheit (SR 0.831.109.268.1) resp. (EG) Nr. 987/2009 des Europäischen Parlaments und des Rates vom 16. September 2009 zur Festlegung der Modalitäten für die Durchführung der Verordnung (EG) Nr. 883/2004 über die Koordinierung der Systeme der sozialen Sicherheit (SR 0.831.109.268.11) sind deshalb in den Beziehungen zwischen der Schweiz und Kroatien nicht anwendbar. Der erleichterte Zugang von kroatischen Staatsangeho rigen zum schweizerischen Arbeitsmarkt ab dem 1. Juli 2014 ändert nichts an den bilateralen Beziehungen auf dem Gebiet der sozialen Sicherheit. Bis zur Ausdehnung des Freizügigkeitsabkommens bleibt das bestehende Sozialversicherungsabkommen zwischen der Schweiz und Kroatien anwendbar (vgl. www.bsv.admin.ch &gt; Themen &gt; Internationales &gt; Abkommen &gt; Liste der Sozialversicherungsabkommen &gt; Kroatien; zuletzt besucht am 28. Juli 2014).</w:t>
      </w:r>
    </w:p>
    <w:p>
      <w:r>
        <w:rPr>
          <w:b/>
        </w:rPr>
        <w:t>E. 2.1.2</w:t>
      </w:r>
    </w:p>
    <w:p>
      <w:r>
        <w:t>Nach dem vorstehend Dargelegten resp. aufgrund des Umstands, dass der Beschwerdeführer Staatsangehöriger Kroatiens ist und in Kroatien lebt, finden die Bestimmungen des Abkommens vom 9. April 1996 zwischen der Schweizerischen Eidgenossenschaft und der Republik Kroatien über soziale Sicherheit (SR 0.831.109.291.1; nachfolgend: Abkommen) Anwendung. Demnach bestimmt sich die Frage, ob und gegebenenfalls ab wann Anspruch auf Leistungen der schweizerischen Invalidenversicherung besteht, für den Beschwerdeführer als Staatsangehöriger Kroatiens allein aufgrund der schweizerischen Rechtsvorschriften (vgl. Art. 2 bis 4 des Abkommens), insbesondere dem IVG, der Verordnung über die Invalidenversicherung vom 17. Januar 1961 (IVV, SR 832.201), dem ATSG sowie der Verordnung vom 11. September 2002 über den Allgemeinen Teil des Sozialversicherungsrechts (ATSV, SR 830.11; vgl. BGE 130 V 253 E. 2.4).</w:t>
      </w:r>
    </w:p>
    <w:p>
      <w:r>
        <w:rPr>
          <w:b/>
        </w:rPr>
        <w:t>E. 2.2</w:t>
      </w:r>
    </w:p>
    <w:p>
      <w:r>
        <w:t>Vorbehältlich besonderer übergangsrechtlicher Regelungen sind in zeitlicher Hinsicht in materiellrechtlicher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 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E.1), sind die vorliegend zu beurteilenden Leistungsansprüche nach den neuen Normen zu prüfen. Im vor­liegenden Verfahren fin­den demnach grundsätzlich jene Vor­schriften Anwendung, die spätestens beim Erlass der Verfü­gung vom 6. Februar 2013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(6. Februar 2013) können auch die Normen des vom Bundesrat auf den 1. Januar 2012 in Kraft gesetzten ersten Teils der 6. IV-Revision (IV-Revision 6a) Anwendung finden.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Laut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mit Hinweis auf das FZA und die VO 1408/71), ist vorliegend nicht gegeben. Nach der Recht­sprechung des ehemaligen EVG stellt diese Regelung nicht eine blosse Auszah­lungsvorschrift, sondern eine be­sondere Anspruchsvoraussetzung dar (BGE 121 V 275 E. 6c).</w:t>
      </w:r>
    </w:p>
    <w:p>
      <w:r>
        <w:rPr>
          <w:b/>
        </w:rPr>
        <w:t>E. 2.5</w:t>
      </w:r>
    </w:p>
    <w:p>
      <w:r>
        <w:t>Wurde eine Rente wegen eines zu geringen Invaliditätsgrades verweigert, so wird nach Art. 87 Abs. 3 IVV eine neue Anmeldung nur geprüft, wenn die Voraussetzungen gemäss Abs. 2 dieser Bestimmung erfüllt sind. Danach ist im Leistungsbegehren glaubhaft zu machen, dass sich der Grad der Invalidität der versicherten Person in einer für den Anspruch erheblichen Weise geändert hat. Der Untersuchungsgrundsatz, wonach das Gericht von Amtes wegen für die richtige und vollständige Abklärung des rechtserheblichen Sachverhalts zu sorgen hat, spielt insoweit keine Rolle (BGE 130 V 64 E. 5.2.5). Die in Art. 87 Abs. 2 und 3 IVV genannte Eintretensvoraussetzung soll verhindern, dass sich die Verwaltung immer wieder mit gleichlautenden und nicht näher begründeten Rentengesuchen befassen muss (BGE 133 V 108 E. 5.3.1 mit Hinweisen). Art. 87 Abs. 3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Glaubhaftmachung höhere oder weniger hohe Anforderungen zu stellen (vgl. Urteile des Bundesgerichts [im Folgenden: BGer] I 489/05 vom 4. April 2007 E. 4.3 mit Hinweis auf BGE 109 V 262 E. 3, 9C_68/2007 vom 19. Oktober 2007 E. 3.3 sowie 9C_286/2009 vom 28. Mai 2009 E. 2.2). 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vorbehalten bleibt die Rechtsprechung zur Wiedererwägung und prozessualen Revision).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[EVG; seit 1. Januar 2007: BGer] I 658/05 vom 27. März 2006 E. 4.4) - ist die unterschiedliche Beurteilung eines im Wesentlichen un­verändert gebliebenen Sachverhaltes unerheblich (BGE 112 V 371 E. 2b mit Hinweisen; Sozialversicherungsrecht - Rechtsprechung [SVR] 1996 IV Nr. 70 S. 204 E. 3a).</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3.1</w:t>
      </w:r>
    </w:p>
    <w:p>
      <w:r>
        <w:t>Hinsichtlich der erheblichen zeitlichen Anknüpfungspunkte hat im vorlie­genden Verfahren als letztmaliger, das Ergebnis einer rechtsgenüglichen materiellen Prüfung des Rentenanspruchs darstellender Rechtsakt die Verfügung vom 28. April 2011 (act. 37), mit welcher die Vorinstanz das erste Leistungsbegehren des Beschwerdeführers vom 10. Februar 2010 (Eingangsstempel bei SAK) abgewiesen hat, zu gelten. Zu beurteilen ist daher aufgrund der bis zum Verfügungszeitpunkt vom 6. Februar 2013 verfassten und eingereichten ärztlichen Berichte (vgl. hierzu BGE 130 V 138 E. 2.1 und 121 V 362 E. 1b mit Hinweisen), ob der Beschwerdeführer für den Zeitraum zwischen der Verfügung vom 28. April 2011 und der vorliegend ange­foch­tenen Nichteintretensverfügung vom 6. Februar 2013 (act. 71) glaubhaft ge­macht hat, dass sich der Grad der Invalidität in einer für den Anspruch erheblichen Weise geändert hat (vgl. E. 2.5 hiervor).</w:t>
      </w:r>
    </w:p>
    <w:p>
      <w:r>
        <w:rPr>
          <w:b/>
        </w:rPr>
        <w:t>E. 3.2</w:t>
      </w:r>
    </w:p>
    <w:p>
      <w:r>
        <w:t>Im Rahmen des Erlasses der ersten, aufgrund der Akten unangefochten in Rechtskraft erwachsenen Verfügung vom 28. April 2011 stützte sich die Vorinstanz insbesondere auf die Stellungnahme von Dr. med. B._______ vom RAD vom 13. Januar 2011 (act. 33). Darin wurden in Kenntnis zahlreicher medizinischer Arztberichte aus dem Ausland als Hauptdiagnosen chronische Lumbalgien bzw. eine Spondylose sowie eine Spondylolisthesis auf Höhe L5-S1 erwähnt resp. die Diagnoseklassifikationen ICD-10: M54.5 (Kreuzschmerz) und M47.8 (sonstige Spondylose) verwendet. Weiter wurden mit Auswirkungen auf die Arbeitsfähigkeit eine ischämische Kardiopathie sowie ein Status nach einem Herzinfarkt am 19. März 2005 diagnostiziert. Dr. med. B._______ erachtete den Versicherten in der angestammten Tätigkeit als Bauarbeiter/Zimmermann (act. 32) ab 2008 zu 100 % arbeitsunfähig und in einer leidensadaptierten Verweisungstätigkeit ab 2008 für voll arbeitsfähig. Weiter führte sie aus, das Hauptproblem seien die chronischen Lumbalgien (verstärkt seit Ende 2007/Anfang 2008). Es lägen keine Einschränkungen in den täglichen Aktivitäten vor. Einem Kontrollbericht vom Mai 2008 sei zu entnehmen, dass es unter Behandlung zu einer Schmerzreduktion gekommen sei. Es bestünden keine neurologischen Defizite. Dr. med. C._______ erwähne in seinem Formularbericht (E 213), dass der Versicherte morgens wegen der starken Schmerzen in der Wirbelsäule und in den Beinen nur mit Mühe aufstehen könne. Der Gang sei schleppend, und er trage einen starren Gürtel um die Lendenwirbelsäule. Die Muskelkraft und -sensibilität in den Armen und Beinen sei konserviert. Im Rahmen der Schlussfolgerung sei erwähnt worden, dass die physische Arbeit des Versicherten völlig ungeeignet sei. Dagegen liege in einer leichten, die funktionellen Einschränkungen berücksichtigenden Tätigkeit eine volle Arbeitsfähigkeit vor. Die Situation seitens des Herzens sei stabil und die systolische Funktion insgesamt konserviert.</w:t>
      </w:r>
    </w:p>
    <w:p>
      <w:r>
        <w:rPr>
          <w:b/>
        </w:rPr>
        <w:t>E. 3.3</w:t>
      </w:r>
    </w:p>
    <w:p>
      <w:r>
        <w:t>Der vorliegenden angefochtenen Verfügung vom 6. Februar 2013 (act. 71) diente der Vorinstanz in medizinischer Hinsicht insbesondere der Bericht von Dr. med. B._______ vom 17. Januar 2013 als Entscheidbasis (act. 70). Nach Würdigung zahlreicher ärztlicher Dokumente aus der Heimat des Versicherten diagnostizierte Dr. med. B._______ zur Hauptsache neu einen Status nach einer Laminectomie auf Höhe L5 und einer Foraminotomie auf Höhe L5-S1 sowie einer nachfolgenden Spondylodese auf Höhe L4-L5-S1 am 11. Oktober 2011. Sie behielt ihre Einschätzung der Arbeits- resp. Leistungsfähigkeit bei und berichtete weiter, seit der letzten Stellungnahme habe sich der Versicherte einer neurochirurgischen Intervention unterzogen. Diese sollte den Zustand der Wirbelsäule verbessern und diese stabilisieren. Die funktionellen Einschränkungen und die Arbeitsfähigkeit blieben in einer angepassten Verweisungstätigkeit unverändert nach der Intervention. Weiter nahm Dr. med. B._______ zu den Berichten der Dres. med. D._______, Facharzt für Innere Medizin (Kardiologie), und E._______, Facharzt für Chirurgie, vom 28. März 2012 und 2. April 2012 (act. 66 und 67) Stellung und folgerte, die neue Dokumentation bestätige in kardiologischer und osteoartikulärer Hinsicht eine Stabilität. Der postoperative Verlauf betreffend Lendenwirbelsäule sei günstig. Jede Anstrengung müsse vermieden werden und die angegebenen Einschränkungen müssten im Rahmen einer leidensangepassten Verweisungstätigkeit beachtet werden. Es rechtfertige sich eine vollständige Arbeitsunfähigkeit in allen Tätigkeiten während vier bis sechs Monaten nach der Operation. Danach liege in einer leidensadaptierten Verweisungstätigkeit eine vollständige Arbeitsfähigkeit vor.</w:t>
      </w:r>
    </w:p>
    <w:p>
      <w:r>
        <w:rPr>
          <w:b/>
        </w:rPr>
        <w:t>E. 3.4.1</w:t>
      </w:r>
    </w:p>
    <w:p>
      <w:r>
        <w:t>Bei der Stellungnahme von Dr. med. B._______ vom 17. Januar 2013 handelt es sich um einen Bericht im Sinne von Art. 59 Abs. 2bis IVG, dem nicht jegliche Aussen- oder Beweiswirkung abgesprochen werden kann; vielmehr ist dieser ein entscheidrelevantes Aktenstück (vgl. hierzu Urteil I 143/07 des BGer vom 14. September 2007 E. 3.3 mit Hinweisen; vgl. auch Urteil I 694/05 des EVG vom 15. Dezember 2006 E. 5). Wie bereits dargelegt wurde (vgl. E. 2.6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Der Stellungnahme von Dr. med. B._______ kann volle Beweiskraft zukommen, wenn die übrigen, von der bundesgerichtlichen Rechtsprechung herausgearbeiteten Kriterien erfüllt sind. Daran besteht im vorliegenden Fall kein Zweifel.</w:t>
      </w:r>
    </w:p>
    <w:p>
      <w:r>
        <w:rPr>
          <w:b/>
        </w:rPr>
        <w:t>E. 3.4.2</w:t>
      </w:r>
    </w:p>
    <w:p>
      <w:r>
        <w:t>Obwohl retrospektive Beurteilungen der Arbeitsunfähigkeit schwierig sind und deshalb entsprechende Begutachtungen erhöhten Ansprüchen genügen müssen (vgl. Urteil des EVG I 200/03 vom 26. Juli 2004 E. 4.5), erfüllt die Stellungnahme vom 17. Januar 2013 die an den Beweiswert eines ärztlichen Berichts gestellten Kriterien. Dr. med. B._______ standen Informationsquellen in Form von Arztberichten der behandelnden Ärzte und Anamnesen zur Verfügung. Ihre Stellungnahme berücksichtigt einerseits die Leiden des Versicherten und wurde in Kenntnis der Vorakten abgegeben, andererseits sind die Beurteilung der medizinischen Situation und die Schlussfolgerungen nachvollziehbar begründet.</w:t>
      </w:r>
    </w:p>
    <w:p>
      <w:r>
        <w:rPr>
          <w:b/>
        </w:rPr>
        <w:t>E. 3.4.3</w:t>
      </w:r>
    </w:p>
    <w:p>
      <w:r>
        <w:t>Dass Dr. med. B._______ über keinen (Schweizer) Facharzttitel verfügt, vermag daran nichts zu ändern. Einerseits verfügt sie mit Blick auf die beim Beschwerdeführer vorhandenen gesundheitlichen Beeinträchtigungen über ausreichend Fachwissen, um eine überzeugende, schlüssige und somit rechtsgenügliche Beurteilung abgeben zu können. Andererseits standen Dr. med. B._______ zahlreiche ausländische Fachberichte zur Verfügung, wobei sie als Medizinerin durchaus in der Lage war resp. ist, zu beurteilen, ob der Versicherte im Rahmen der Neuanmeldung glaubhaft gemacht hat, dass sich der Grad der Invalidität in einer für den Anspruch erheblichen Weise geändert hat. Auf das Einholen von weiteren Berichten entsprechend ausgebildeter Spezialärztinnen und -ärzte konnte unter diesen Umständen verzichtet werden (zur antizipierten Beweiswürdigung vgl. BGE 122 V 157 E. 1d; SVR 2005 IV Nr. 8 S. 37 E. 6.2, 2003 AHV Nr. 4 S. 11 E. 4.2.1). Es ist somit davon auszugehen, dass der Beschwerdeführer in seiner zuletzt ausgeübten Erwerbstätigkeit seit 2008 zu 100 % arbeitsunfähig ist und ab demselben Zeitpunkt eine 100%ige Arbeits- resp. Leistungsfähigkeit in einer leidensadaptierten Verweisungstätigkeit besteht. Die vorübergehende, während vier bis sechs Monaten bestehende vollständige Arbeits- und Leistungsfähigkeit aufgrund der chirurgischen Intervention hat keine rentenrelevanten Auswirkungen, da der Beschwerdeführer weder während eines Jahres ohne wesentli­chen Unterbruch durchschnittlich mindestens 40 % ar­beitsunfähig noch nach Ablauf die­ses Jahres zu min­destens 40 % invalid gewesen war (vgl. E. 2.4 hiervor). Somit fehlt es an einer Glaubhaftmachung einer Änderung des Invaliditätsgrades in einer für den Anspruch erheblichen Weise, zumal die Einschätzung von Dr. med. B._______ von fachärztlicher neurochirurgischer Seite bestätigt worden war (act. 77 S. 6 ff./13 [Status nach Operation an der Wirbelsäule]).</w:t>
      </w:r>
    </w:p>
    <w:p>
      <w:r>
        <w:rPr>
          <w:b/>
        </w:rPr>
        <w:t>E. 3.4.4</w:t>
      </w:r>
    </w:p>
    <w:p>
      <w:r>
        <w:t>Daran ändern auch die Berichte der Dres. med. D._______ und E._______ nichts, denn deren Ausführungen wurden von Dr. med. B._______ übernommen resp. stehen diese in Übereinstimmung mit der Stellungnahme der RAD-Ärztin. Im Übrigen ist darauf hinzuweisen, dass weder Dr. med. D._______ noch Dr. med. E._______ eine Beurteilung der Arbeits- und Leistungsfähigkeit abgegeben haben. Insofern besteht auch diesbezüglich kein Widerspruch.</w:t>
      </w:r>
    </w:p>
    <w:p>
      <w:r>
        <w:rPr>
          <w:b/>
        </w:rPr>
        <w:t>E. 3.4.5</w:t>
      </w:r>
    </w:p>
    <w:p>
      <w:r>
        <w:t>Zu keinem anderen Ergebnis führt der nach Verfügungserlass eingereichte, vom 16. März 2012 datierende Austrittsbericht (act. 73). Dr. med. B._______ schildert in ihrem Bericht vom 13. August 2013 (act. 77) - welcher zu berücksichtigen ist, da er zu diesem Austrittsbericht Stellung nimmt (vgl. zur Berücksichtigung von ärztlichen Berichten nach Verfügungserlass Urteile des BGer 8C_278/2011 vom 26. Juli 2011 E. 5.5 und 9C_116/2010 vom 20. April 2010 E. 3.2.2; BGE 121 V 362 E. 1b, BGE 18 V 200 E. 3a und BGE 116 V 80 E. 6b) - schlüssig und überzeugend, dass und weshalb dieser Bericht nicht zu einer Änderung ihrer Stellungnahmen vom 8. Oktober 2012 und vom 17. Januar 2013 führt.</w:t>
      </w:r>
    </w:p>
    <w:p>
      <w:r>
        <w:rPr>
          <w:b/>
        </w:rPr>
        <w:t>E. 4</w:t>
      </w:r>
    </w:p>
    <w:p>
      <w:r>
        <w:t>Ergänzend ist darauf hinzuweisen, dass sich der Rentenanspruch des Beschwerdeführers alleine aufgrund der schweizerischen Bestimmungen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Bundesverwaltungsgerichts C-6398/2009 vom 18. Mai 2012 E. 2.1 mit Hinweis auf Entscheid des EVG vom 11. De­zember 1981 i.S. D.; zum Grundsatz der freien Beweiswürdigung vgl. BGE 125 V 351 E. 3a). Aus dem Umstand, dass beim Beschwerdeführer vom kroatischen Sozialversicherungsträger eine "körperliche Beschädigung von 40 %" anerkannt wurde, kann er im Zusammenhang mit dem Anspruch auf eine schweizerische Rente nichts zu seinen Gunsten ableiten. Im Übrigen ist festzuhalten, dass die Schweizer Invalidenversicherung das Instrument der Integritätsentschädigung nicht kennt. Dies im Gegensatz zur Unfallversicherung, wonach die versicherte Person Anspruch auf eine angemessene Integritätsentschädigung hat, wenn sie durch den Unfall eine dauernde erhebliche Schädigung der körperlichen, geistigen oder psychischen Integrität erleidet (Art. 24 Abs. 1 des Bundesgesetzes über die Unfallversicherung vom 20. März 1981 [UVG; SR 832.20]).</w:t>
      </w:r>
    </w:p>
    <w:p>
      <w:r>
        <w:rPr>
          <w:b/>
        </w:rPr>
        <w:t>E. 5</w:t>
      </w:r>
    </w:p>
    <w:p>
      <w:r>
        <w:t>Aufgrund der vorstehenden Erwägungen ist zusammenfassend festzuhalten, dass der Beschwerdeführer nicht hatte glaubhaft machen können, dass sich der Grad der Invalidität zwischen dem 28. April 2011 und dem 6. Februar 2013 in einer für den Anspruch erheblichen Weise geändert hat. Die angefochtene Verfügung vom 6. Februar 2013 erweist sich somit als rechtens, weshalb die dagegen erhobene Beschwerde vom 18. Februar 2013 (vgl. Bst. C. hiervor) als unbegründet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