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C-1412/2012 vom 5. August 2014</w:t>
      </w:r>
    </w:p>
    <w:p>
      <w:r>
        <w:t>Bundesverwaltungsgericht, 2014-08-05, FR</w:t>
      </w:r>
    </w:p>
    <w:p>
      <w:r>
        <w:rPr>
          <w:b/>
        </w:rPr>
        <w:t xml:space="preserve">Quelle: </w:t>
      </w:r>
      <w:r>
        <w:t>https://mcp.opencaselaw.ch/entscheid/bvger_C-1412_2012</w:t>
      </w:r>
    </w:p>
    <w:p>
      <w:r>
        <w:t>FR: TAF C-1412/2012 du 5 août 2014</w:t>
      </w:r>
    </w:p>
    <w:p>
      <w:r>
        <w:t>IT: TAF C-1412/2012 del 5 agosto 2014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son mémoire de recours du 12 mars 2012, la recourante a fait valoir une violation de son droit d'être entendu.</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cf. également Patrick Sutter, in : Auer et al., Kommentar zum Bundesgesetz über das Verwaltungs-verfahren [VwVG], 2008, ad art. 29 PA, ch. 16, et André Moser et al., Prozessieren vor dem Bundesverwaltungsgericht, 2e édition, 2013, p. 193, ch.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ad art. 29 PA ch. 18; cf. également Moser / Beusch / Kneubühler, op. cit., p. 194, ch. 3.112, et les références citées).</w:t>
      </w:r>
    </w:p>
    <w:p>
      <w:r>
        <w:rPr>
          <w:b/>
        </w:rPr>
        <w:t>E. 3.2</w:t>
      </w:r>
    </w:p>
    <w:p>
      <w:r>
        <w:t>La recourante a essentiellement fait valoir qu'elle avait uniquement pu se déterminer par écrit, réduisant ainsi à néant la possibilité de défendre ses intérêts. En l'occurrence, comme l'a fait observer l'ODM dans ses déterminations du 21 mai 2012, le droit d'être entendu consacré à l'art. 29 al. 2 Cst. ne confère notamment pas aux parties le droit de s'exprimer verbalement devant l'autorité appelée à prendre une décision (cf. ATF 134 I 140 consid. 5.3; arrêt du Tribunal fédéral 6B_145/2009 du 28 mai 2009 consid. 3.2). La partie ne peut ainsi exiger d'être entendue oralement en procédure administrative (cf. André Moser/Michael Beusch/Lorenz Kneubühler, op. cit., ad p. 183, ch. 3.86). Le fait d'inviter une partie à se déterminer par écrit sur des éléments importants pour la résolution du cas d'espèce constitue ainsi une mise en oeuvre de son droit d'être entendu. Or, sous cet angle, il importe de relever que l'intéressée n'a pas donné suite à la possibilité que lui a octroyée l'ODM, par courrier du 15 décembre 2011, de se déterminer sur les déclarations faites par son ex-époux lors de son audition du 24 novembre 2011, ni sur les renseignements fournis par le cabinet médical dans lequel était suivi son ex-époux. Dans ces circonstances, elle ne saurait imputer à l'autorité inférieure ses propres manquements.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131 I 153 consid. 3, 130 II 425 consid. 2.1). Au demeurant, l'intéressée n'a pas davantage saisi l'opportunité, qui lui a été donnée par le Tribunal de compléter son mémoire de recours, en indiquant précisément sur quels points elle estimait un complément d'investigation nécessaire. Par conséquent, le grief tiré d'une violation du droit d'être entendu doit être écarté.</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et jurisp. cit.; arrêt du Tribunal administratif fédéral C-1659/2011 du 11 mai 2012 consid. 4.3).</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cf. à ce sujet ATF 132 II 113 consid. 3.2 p. 115s.), mais encore de son propre intérêt, de renverser cette présomption (cf. ATF 135 II 161 consid. 3 p. 165s. et références citées).</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6.1</w:t>
      </w:r>
    </w:p>
    <w:p>
      <w:r>
        <w:t>A titre préliminaire, le Tribunal constate que les conditions formelles de l'annulation de la naturalisation facilitée prévues par l'art. 41 LN sont réalisées dans le cas particulier.</w:t>
      </w:r>
    </w:p>
    <w:p>
      <w:r>
        <w:rPr>
          <w:b/>
        </w:rPr>
        <w:t>E. 6.2</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 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12 février 2007 a été annulée par l'autorité inférieure en date du 13 février 2012, soit avant l'échéance du délai péremptoire prévu par la disposition précitée, avec l'assentiment des autorités cantonales compétentes.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6.3</w:t>
      </w:r>
    </w:p>
    <w:p>
      <w:r>
        <w:t>Cela étant, il convient tout de même de relever que si l'ODM a certes rendu la décision d'annulation le 13 février 2012, force est cependant de constater que cette décision n'a été délivrée à son destinataire que le 15 février 2012 (selon accusé de réception au dossier), soit un jour après le délai de prescription de cinq ans fixé dans l'ancienne version de l'art. 41 LN (cf. sur la computation des délais arrêt du Tribunal fédéral 1C_336/2010 du 28 septembre 2010 consid. 2 et 3). Aussi, l'affirmation de l'ODM dans la décision attaquée sous chiffre 1, 5ème paragraphe, selon laquelle tant l'ancien délai quinquennal de prescription que les nouveaux délais de prescription prévus par l'actuelle LN avaient été respectés dans le cas d'espèce, n'est pas correcte.</w:t>
      </w:r>
    </w:p>
    <w:p>
      <w:r>
        <w:rPr>
          <w:b/>
        </w:rPr>
        <w:t>E. 7.1</w:t>
      </w:r>
    </w:p>
    <w:p>
      <w:r>
        <w:t>Il convient encore d'examiner si les circonstances du cas particulier répondent aux conditions matérielles de l'annulation de la naturalisation facilitée. En l'espèce, le Tribunal constate que A._______ et D._______ ont signé le 18 décembre 2006 une déclaration selon laquelle ils vivaient en communauté conjugale effective et stable. Par décision du 12 février 2007, l'ODM a accordé la naturalisation facilitée à A._______. Le 20 avril 2009, les époux A._______-D._______ se sont séparés et le 7 juin 2009, ils ont rédigé une requête commune de divorce. Par jugement du 30 octobre 2009, devenu exécutoire le 13 novembre 2009, le Tribunal compétent a prononcé le divorce des époux A._______-D._______. Au regard de la chronologie des événements avancés, il apparaît qu'il s'est écoulé un peu plus de deux ans entre la signature de la déclaration commune (18 décembre 2006) et la séparation de fait du couple (20 avril 2009), puis un peu plus de 8 mois entre le prononcé du divorce (30 octobre 2009) et le remariage de la recourante (15 juillet 2010). S'il est vrai que la séparation des époux A._______-D._______ n'est intervenue qu'après un laps de temps relativement long (28 mois), les circonstances du cas d'espèce amènent le Tribunal a considérer que la communauté conjugale au sens de l'art. 27 LN des époux A._______-D._______ ne pouvait être considérée comme stable et orientée vers l'avenir tant au moment de la signature de la déclaration commune, en décembre 2006, que lors de la décision de naturalisation, en février 2007. Le seul fait de ce laps de temps relativement long ne saurait exclure en soi la présomption de fait que la naturalisation facilitée a été obtenue frauduleusement. Ainsi, le Tribunal relève qu'au moment du mariage de l'intéressée avec un ressortissant suisse, son statut en Suisse était des plus précaires. En effet, en dépit de l'échéance d'un visa touristique obtenu le 25 octobre 1995, l'intéressée, alors âgée de 13 ans, a été scolarisée en Suisse dans un institut privé et peu après, une demande de régularisation de son séjour en Suisse a été sollicitée. En octobre 1998, l'Office fédéral des étrangers, dans un courrier destiné à la soeur de l'intéressée, à laquelle celle-ci avait été confiée par ses parents, a été disposé, à titre exceptionnel, à autoriser l'intéressée à poursuivre sa scolarité en Suisse jusqu'à la 9e année. Après cette échéance, l'intéressée a sollicité à deux reprises une autorisation de séjour en Suisse, la première fois afin de pouvoir y travailler comme serveuse et la deuxième fois afin d'y effectuer des études. Les deux requêtes ont été rejetées les 10 mai 2000 et 12 juillet 2000. Le 22 décembre 2000, l'intéressée s'est mariée avec un ressortissant suisse. Au vu de l'enchaînement chronologique de ces faits, le Tribunal présume que l'intéressée avait surtout à coeur de régler ses conditions de séjour en Suisse. Il convient cependant de relever que le fait qu'un ressortissant suisse et une ressortissante étrangère contractent mariage, afin notamment de permettre à la conjointe étrangère d'obtenir une autorisation de séjour, ne préjuge pas en soi de la volonté des époux de fonder une communauté conjugale effective et ne constitue pas systématiquement un indice de mariage fictif. Toutefois, dans le cas d'espèce, des éléments troublants confortent le Tribunal dans son appréciation quant à l'absence d'une communauté de vie durable, en particulier le fait que l'intéressée a épousé un homme âgé de 30 ans alors qu'elle-même n'était âgée que de 18 ans et que son époux souffrait d'une dépendance à l'alcool. Par ailleurs, il ressort du dossier de la cause que l'intéressée ne pouvait concevoir un mariage sans enfant, alors que son époux lui avait clairement fait comprendre qu'il ne souhaitait plus d'enfant (il est déjà père d'un enfant). Même si au début de ce mariage, il ne peut être exclu que l'intéressée ait pu penser qu'elle arriverait à persuader son ex-mari d'avoir un enfant avec elle, elle ne devait plus avoir d'illusion à ce sujet, en 2006, au moment de la signature de la déclaration concernant la communauté conjugale. Au vu de l'importance qu'elle accordait à une descendance, le Tribunal est convaincu qu'elle ne partageait pas ou plus, avec son ex-époux, une communauté de destins, clairement orientée vers l'avenir, et ce d'autant moins en considération du fait qu'elle a dû faire face depuis son mariage en l'an 2000 à la dépendance à l'alcool de son ex-mari, rendant ainsi d'autant plus évidentes les difficultés qu'engendrerait pour leur couple la responsabilité liée à la venue d'un enfant. De plus, que les difficultés conjugales rencontrées par les intéressés aient abouti au dépôt d'une requête commune en divorce, un mois et demi après leur séparation, amène à la conclusion que leur communauté conjugale n'était sans doute déjà plus étroite et effective au moment de la signature de la déclaration du 18 octobre 2006, voire de la naturalisation en février 2007, dès lors qu'aucun nouvel élément n'est intervenu depuis dite déclaration, permettant d'expliquer cette soudaine précipitation dans la volonté de mettre un terme à la communauté de vie par le divorce (cf. considérant ci-dessous, ch. 7.4). Cette appréciation se voit d'ailleurs confortée au vu du fait que l'intéressée, un peu plus de 8 mois après le prononcé de son divorce, s'est remariée avec un homme de la même culture que la sienne et sensiblement du même âge qu'elle-même et qu'elle a donné, par la suite, naissance à un enfant. Aussi, même s'il s'est écoulé un laps de temps relativement long entre la signature de la déclaration commune le 18 décembre 2006 et la séparation de fait des intéressés survenue le 20 avril 2009, le Tribunal estime, aux vu des éléments ressortant de la cause, qu'au moment de la signature de la déclaration commune précitée, voire de l'octroi de la nationalité suisse à l'intéressée, le 12 février 2007, on ne saurait retenir que cette dernière et son conjoint formaient véritablement une communauté conjugale au sens de l'art. 27 LN.</w:t>
      </w:r>
    </w:p>
    <w:p>
      <w:r>
        <w:rPr>
          <w:b/>
        </w:rPr>
        <w:t>E. 7.2</w:t>
      </w:r>
    </w:p>
    <w:p>
      <w:r>
        <w:t>Il convient encore de déterminer si A._______ a pu renverser la présomption de fait que la naturalisation a été obtenue frauduleusement en rendant vraisemblable soit la survenance d'un événement extraordinaire survenu après l'octroi de la naturalisation facilitée susceptible d'expliquer une dégradation rapide du lien conjugal, soit l'absence de conscience de la gravité de ses problèmes de couple au moment de la signature de la déclaration commune (cf. consid. 4.3 ci-avant et la jurisprudence citée).</w:t>
      </w:r>
    </w:p>
    <w:p>
      <w:r>
        <w:rPr>
          <w:b/>
        </w:rPr>
        <w:t>E. 7.3</w:t>
      </w:r>
    </w:p>
    <w:p>
      <w:r>
        <w:t>La recourante s'est essentiellement prévalue des problèmes de dépendance à l'alcool de son ex-époux, lequel se serait remis à boire en 2007, rendant la vie commune insoutenable, et ce d'autant plus qu'il aurait refusé de se soigner. A l'instar de l'autorité inférieure, le Tribunal ne saurait cependant se satisfaire de cette explication. En effet, ainsi que cela ressort en particulier du courrier du 8 décembre 2011, rédigé par le cabinet médical où l'ex-époux de l'intéressée était pris en charge, ce dernier a été régulièrement hospitalisé, entre 1998 et 2004, pour des difficultés liées à l'alcool apparues en 1995 environ (toutefois, la prise en charge évoquée par l'ex-époux en 2006 [cf. lettre K ci-dessus] ne ressort pas du dossier et n'a pas été confirmée par le cabinet médical). Depuis son mariage avec l'intéressé, survenu en décembre 2000, la recourante a donc été régulièrement confrontée à la dépendance à l'alcool de son ex-époux et les probables répercussions que dite dépendance était susceptible d'avoir sur leur relation de couple. Elle n'a ainsi pas été en mesure de rendre vraisemblable qu'elle n'avait pas conscience de l'impact que pouvait avoir la dépendance de son ex-époux sur la stabilité de l'union qu'elle formait alors avec lui, ni que dite dépendance aurait constitué un événement extraordinaire, après la signature de la déclaration commune, pouvant expliquer une dégradation soudaine du lien conjugal. Ainsi, à défaut d'éléments contraires convaincants apportés par la recourante, le Tribunal est d'avis qu'il y a lieu de s'en tenir à la présomption de fait, fondée sur les différents éléments développés ci-dessus, selon laquelle l'union formée par A._______ et D._______ ne présentait pas l'intensité et la stabilité requises lors de la signature de la déclaration de vie commune et au moment de la décision de naturalisation facilitée et ce, en dépit des vingt-huit mois encore écoulés entre la décision de naturalisation et la séparation officielle.</w:t>
      </w:r>
    </w:p>
    <w:p>
      <w:r>
        <w:rPr>
          <w:b/>
        </w:rPr>
        <w:t>E. 7.4</w:t>
      </w:r>
    </w:p>
    <w:p>
      <w:r>
        <w:t>Partant, l'ODM était fondé à considérer que la naturalisation facilitée conférée à la prénommée le 12 février 2007 avait été obtenue sur la base de déclarations mensongères ainsi que d'une dissimulation de faits essentiels, et donc à prononcer, avec l'assentiment du canton d'origine, l'annulation de cette naturalisation en application de l'art. 41 LN.</w:t>
      </w:r>
    </w:p>
    <w:p>
      <w:r>
        <w:rPr>
          <w:b/>
        </w:rPr>
        <w:t>E. 7.5</w:t>
      </w:r>
    </w:p>
    <w:p>
      <w:r>
        <w:t>Par ailleurs, dans la mesure où la décision rendue le 13 février 2012 est confirmée, il convient de rappeler ici que ses effets s'étendent également au fils de l'intéressée, F._______, né le 18 octobre 2012, en l'absence d'une décision contraire expresse. Ce dernier peut en outre acquérir la nationalité marocaine en vertu de la législation du Maroc, dans la mesure où il ne l'aurait pas déjà acquise.</w:t>
      </w:r>
    </w:p>
    <w:p>
      <w:r>
        <w:rPr>
          <w:b/>
        </w:rPr>
        <w:t>E. 8</w:t>
      </w:r>
    </w:p>
    <w:p>
      <w:r>
        <w:t>Il ressort de ce qui précède que, par sa décision du 13 février 2012, l'ODM n'a ni violé le droit fédéral ni constaté des faits pertinents de manière inexacte ou incomplète; en outre, cette décision n'est pas inopportune (art. 49 PA). En conséquence, le recours est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