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C-140/2009 vom 23. März 2011</w:t>
      </w:r>
    </w:p>
    <w:p>
      <w:r>
        <w:t>Bundesverwaltungsgericht, 2011-03-23, DE</w:t>
      </w:r>
    </w:p>
    <w:p>
      <w:r>
        <w:rPr>
          <w:b/>
        </w:rPr>
        <w:t xml:space="preserve">Quelle: </w:t>
      </w:r>
      <w:r>
        <w:t>https://mcp.opencaselaw.ch/entscheid/bvger_C-140_2009</w:t>
      </w:r>
    </w:p>
    <w:p>
      <w:r>
        <w:t>FR: TAF C-140/2009 du 23 mars 2011</w:t>
      </w:r>
    </w:p>
    <w:p>
      <w:r>
        <w:t>IT: TAF C-140/2009 del 23 marzo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siehe in Bezug auf Art. 14 Abs. 2 AsylG auch das Urteil des Bundesgerichts 2C_692/2010 vom 13. September 2010 E. 3).</w:t>
      </w:r>
    </w:p>
    <w:p>
      <w:r>
        <w:rPr>
          <w:b/>
        </w:rPr>
        <w:t>E. 1.2</w:t>
      </w:r>
    </w:p>
    <w:p>
      <w:r>
        <w:t>Das Verfahren richtet sich nach dem VwVG, dem Verwaltungs­gerichtsgesetz und dem Bundesgerichtsgesetz, soweit das Asylgesetz - sofern anwendbar - nichts anderes bestimmt (Art. 6 AsylG).</w:t>
      </w:r>
    </w:p>
    <w:p>
      <w:r>
        <w:rPr>
          <w:b/>
        </w:rPr>
        <w:t>E. 1.3</w:t>
      </w:r>
    </w:p>
    <w:p>
      <w:r>
        <w:t>Die Beschwerdeführer sind als Verfügungsadressaten gemäss Art. 48 Abs. 1 VwVG zur Beschwerde legitimiert. Auf die frist- und formgerecht eingereichte Beschwerde ist unter Vorbehalt der nachfolgenden Erwägungen einzutreten (vgl. Art. 50 und 52 VwVG).</w:t>
      </w:r>
    </w:p>
    <w:p>
      <w:r>
        <w:rPr>
          <w:b/>
        </w:rPr>
        <w:t>E. 2</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Entgegen den Vorbringen der Beschwerdeführer war die Vorinstanz nicht verpflichtet, in der angefochtenen Verfügung die Wegweisung anzuordnen. Zwar sieht Art. 66 Abs. 1 des Bundesgesetzes vom 16. Dezember 2005 über die Ausländerinnen und Ausländer (AuG, SR 142.20) in der Fassung vom 1. Januar 2008 bzw. Art. 64 Abs. 1 Bst. c AuG in der Fassung vom 1. Januar 2011 vor, dass Ausländerinnen und Ausländer von den zuständigen Behörden weggewiesen werden, wenn deren Aufenthaltsbewilligung verweigert wird. In casu geht es aber nicht um die Erteilung der Aufenthaltsbewilligung selbst bzw. um die Zustimmung zu einer vom Kanton erteilten oder in Aussicht gestellten Aufenthaltsbewilligung, sondern lediglich um die Ermächtigung zur Durchführung eines Aufenthaltsverfahrens nach Art. 14 Abs. 2 AsylG (vgl. dazu das Urteil des Bundesgerichts 2C_853/2008 vom 28. Januar 2009 E. 3.1). Im Übrigen wurde die Wegweisung der Beschwerdeführer aus der Schweiz bereits im Rahmen des Asylverfahrens verfügt und vom Bundesverwaltungsgericht letztinstanzlich bestätigt (vgl. Urteil D-3492/2006 vom 31. Juli 2008). Eine diesbezügliche Rückweisung der Sache an die Vorinstanz erübrigt sich daher.</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4.1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 wie bereits erwähnt - nur um die Frage, ob der Kanton ermächtigt wird, eine Aufenthaltsbewilligung zu erteilen bzw. ein Aufenthaltsverfahren durchzuführen.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zur Rechtsnatur dieses Verfahrens vgl. Urteil des Bundesverwaltungsgerichts C-7265/2007 vom 24. März 2010 E. 3).</w:t>
      </w:r>
    </w:p>
    <w:p>
      <w:r>
        <w:rPr>
          <w:b/>
        </w:rPr>
        <w:t>E. 4.2</w:t>
      </w:r>
    </w:p>
    <w:p>
      <w:r>
        <w:t>Bereits vor der Revision vom 16. Dezember 2005 sah das Asyl­gesetz in aArt. 44 Abs. 3 bis 5 die Möglichkeit vor, in Fällen einer schwerwiegenden persönlichen Notlage die vorläufige Aufnahme an­zuordnen, sofern vier Jahre nach Einreichen des Asylgesuchs noch kein rechtskräftiger Entscheid ergangen war.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w:t>
      </w:r>
    </w:p>
    <w:p>
      <w:r>
        <w:rPr>
          <w:b/>
        </w:rPr>
        <w:t>E. 5.1</w:t>
      </w:r>
    </w:p>
    <w:p>
      <w:r>
        <w:t>Die Beschwerdeführer 1 und 2 halten sich seit der Einreichung des Asylgesuches mehr als fünf Jahre in der Schweiz auf, wobei ihr Aufenthaltsort (wie auch derjenige des hier geborenen Beschwerdeführers 3)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AuG).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5.2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5.3</w:t>
      </w:r>
    </w:p>
    <w:p>
      <w:r>
        <w:t>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Wiederruf einer Bewilligung zur Folge haben (Art. 62 Bst. a und Art. 63 Abs. 1 Bst. a AuG) und zu Zwangsmassnahmen (Art. 76 Abs. 1 Bst. b Ziff. 3 AuG und Art. 77 Abs. 1 Bst. c AuG) oder gar strafrechtlichen Sanktionen (Art. 120 Abs. 1 Bst. e AuG) führen (Peter Uebersax, Einreise und Aufenthalt, in Ausländerrecht, a.a.O., Rz. 7.272 ff.). Einen weiterreichenden Regelungsumfang hat die insoweit nur deklaratorische Verordnungsbestimmung von Art. 31 Abs. 2 VZAE (abgesehen von der wohl ungenauen Übersetzung im französischen Text) nicht.</w:t>
      </w:r>
    </w:p>
    <w:p>
      <w:r>
        <w:rPr>
          <w:b/>
        </w:rPr>
        <w:t>E. 6.1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6.2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 des Bundesverwaltungsgerichts C-7265/2007 vom 24. März 2010 E. 5.3 mit weiteren Hinweisen).</w:t>
      </w:r>
    </w:p>
    <w:p>
      <w:r>
        <w:rPr>
          <w:b/>
        </w:rPr>
        <w:t>E. 6.3</w:t>
      </w:r>
    </w:p>
    <w:p>
      <w:r>
        <w:t>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6.4</w:t>
      </w:r>
    </w:p>
    <w:p>
      <w:r>
        <w:t>Bei Härtefallgesuchen von Familien schliesslich darf die Situation der einzelnen Mitglieder nicht isoliert, sondern muss im familiären Kontext betrachtet werden. Das Schicksal der Familie stellt eine Einheit dar, und es wäre schwierig, das Vorliegen eines Härtefalles beispielsweise einzig für die Eltern oder nur für die Kinder anzunehmen (vgl. BVGE 2007/16 E. 5.3).</w:t>
      </w:r>
    </w:p>
    <w:p>
      <w:r>
        <w:rPr>
          <w:b/>
        </w:rPr>
        <w:t>E. 7.1</w:t>
      </w:r>
    </w:p>
    <w:p>
      <w:r>
        <w:t>Die Beschwerdeführer 1 und 2 reisten im September 2002 als Asylbewerber in die Schweiz ein. Unmittelbar nach rechtskräftigem Abschluss des Asylverfahrens leitete die kantonale Behörde das Härtefallverfahren ein. Was die Dauer des bei der Härtefallbeurteilung zu berücksichtigenden Aufenthaltes anbelangt (vgl. Art. 31 Abs. 1 Bst. e VZAE), so fallen die drei Tage zwischen Ablauf der Ausreisefrist nach Abschluss des Asylverfahrens (13. Oktober 2008) und Einleitung des Verfahrens durch den Kanton (16. Oktober 2008) nicht ins Gewicht. Neben der Dauer des Asylverfahrens ist ihnen demnach die Zeit des Härtefallverfahrens (Vorinstanz und Beschwerdeinstanz) an die massgebliche Dauer des Aufenthaltes anzurechnen, weshalb von einer Gesamtdauer von achteinhalb Jahren auszugehen ist.</w:t>
      </w:r>
    </w:p>
    <w:p>
      <w:r>
        <w:rPr>
          <w:b/>
        </w:rPr>
        <w:t>E. 7.2</w:t>
      </w:r>
    </w:p>
    <w:p>
      <w:r>
        <w:t>Laut einem Urteil des Bundesgerichts ist bei Asylsuchenden, die sich seit zehn und mehr Jahren in der Schweiz aufhalten, in der Regel vom Vorliegen eines schwerwiegenden persönlichen Härtefalles auszugehen, sofern diese finanziell unabhängig, sozial und beruflich gut integriert sind und sich bis dahin klaglos verhalten haben. Im Weiteren darf die Dauer des Aufenthaltes nicht absichtlich durch das missbräuchliche Ergreifen von Rechtsmitteln zum Zwecke der Verzögerung verlängert worden sein (vgl. BGE 124 II 110 E. 3).</w:t>
      </w:r>
    </w:p>
    <w:p>
      <w:r>
        <w:rPr>
          <w:b/>
        </w:rPr>
        <w:t>E. 7.2.1</w:t>
      </w:r>
    </w:p>
    <w:p>
      <w:r>
        <w:t>Die Beschwerdeführer 1 und 2 sind, bis auf die - wie bereits erwähnt - unbedeutende Missachtung der Ausreisefrist nach Abschluss des Asylverfahrens, unbescholten und haben sich offenbar sozial gut integriert (Art. 31 Abs. 1 Bst. a und b VZAE). Beide haben sich um den Erwerb der deutschen Sprache bemüht und das Referenzniveau A2 des Europäischen Sprachenportfolios erreicht. Ihre gute soziale Integration wird von der Vorinstanz denn auch nicht bestritten. Was die finanzielle Lage der Beschwerdeführer bzw. die berufliche Situation anbelangt, so steht diese im Zentrum der Begründung der angefochtenen Verfügung. Die Vorinstanz hält ihnen darin vor, sie würden selbst nach Erteilung einer kantonalen Aufenthaltsbewilligung aufgrund ihrer finanziellen Verhältnisse (monatlicher Fehlbetrag zwischen Einkommen und Ausgaben nach den sogenannten VOF-SKOS-Richtlinien von rund Fr. 1'900.- bzw. Fr. 700.- nach dem SKOS-Modell, ausgehend von einem Nettoeinkommen von Fr. 2'400.-) einem erhöhten Fürsorgerisiko unterliegen (vgl. Art. 31 Abs. 1 Bst. d VZEA).</w:t>
      </w:r>
    </w:p>
    <w:p>
      <w:r>
        <w:rPr>
          <w:b/>
        </w:rPr>
        <w:t>E. 7.2.2</w:t>
      </w:r>
    </w:p>
    <w:p>
      <w:r>
        <w:t>Der Beschwerdeführer 1 arbeitete in seinem Heimatland nach acht Jahren Grundschule und 2 Jahren Gymnasium zuletzt als Verkäufer in einer Fabrik, welche Tierfutter produzierte. Die Beschwerdeführerin 2, welche lediglich die Grundschule absolvierte, ging dort keiner beruflichen Tätigkeit nach und kümmerte sich um den Haushalt. In der Schweiz nahm der Beschwerdeführer 1 nach langer Stellensuche am 1. April 2007 eine Erwerbstätigkeit als Produktionsmitarbeiter auf (Portionieren und Aufstecken von Kebap Döner-Spiessen, Reinigung des Betriebes). Nur wenige Monate nachdem er diese Stelle wegen Konkurses seines Arbeitgebers verloren hatte, fand er eine neue Stelle als Mitarbeiter in einem Imbissgeschäft. Sein vormaliger Arbeitgeber bestätigte ihm, seine Arbeit zur vollsten Zufriedenheit erledigt zu haben ("war überall einsetzbar und hat sich schnell eingearbeitet"). Zum Zeitpunkt der angefochtenen Verfügung erzielte der Beschwerdeführer 1 ein monatliches Bruttoeinkommen von Fr. 3'300.-. Gemäss Bestätigungsschreiben des Arbeitgebers vom 4. Dezember 2008 sollte der Lohn nach Ablauf der Probezeit auf Fr. 3'300.- netto pro Monat erhöht werden, was die Vorinstanz in ihrer Vernehmlassung für nicht nachvollziehbar und branchenunüblich hielt. Sie ging sogar von einer fiktiven Lohnofferte aus. Die Beschwerdeführer erklärten diese beträchtliche Lohnerhöhung in ihrer Replik vom 9. März 2009 mit der Absicht des Arbeitgebers, den Beschwerdeführer 1 in seinem Fleischproduktionsbetrieb im Kanton Zürich und damit in einer Branche einzusetzen, in der höhere Löhne bezahlt werden.</w:t>
      </w:r>
    </w:p>
    <w:p>
      <w:r>
        <w:rPr>
          <w:b/>
        </w:rPr>
        <w:t>E. 7.2.3</w:t>
      </w:r>
    </w:p>
    <w:p>
      <w:r>
        <w:t>Während des hängigen Beschwerdeverfahrens wurden weitere Bewerbungen nachgewiesen. Eine Firma in Winterthur würde den Beschwerdeführer 1 bei geregeltem Aufenthalt anstellen (vgl. Bestätigungsschreiben vom 24. Februar 2010). Auch die Beschwerdeführerin 2 könnte mit einer Teilzeitstelle (zwölf Stunden in der Woche) in Schaffhausen rechnen (vgl. Bestätigungsschreiben vom 10. Mai 2010). Mit diesem Zusatzverdienst kann die Frage, ob der Beschwerdeführer 1 tatsächlich einen Nettolohn von Fr. 3'300.- im Monat erzielen könnte, letztlich offengelassen werden. Das Risiko einer Unterstützung der Familie durch die öffentliche Fürsorge kann weitgehend ausgeschlossen werden, was im Übrigen auch der Einschätzung der kantonalen Behörde entspricht (vgl. Buchstabe J der Prozessgeschichte). Dass der Beschwerdeführer 1 nicht schon jetzt ein besseres Einkommen erzielen kann, ist offensichtlich seinem Status als abgewiesener Asylbewerber zuzuschreiben. Gerade durch die Absolvierung eines Sprachkurses und seine zahlreichen Bemühungen hat er jedoch gezeigt, dass er den Willen zur Teilhabe am Wirtschaftsleben und zum Erwerb von Bildung hat (vgl. Art. 31 Abs. 1 Bst. d VZAE). Unter den gegebenen Umständen kann die berufliche Integration des Beschwerdeführers als gut, wenn auch keineswegs als überdurchschnittlich bezeichnet werden. Allerdings hat der Beschwerdeführer 1 mangels entsprechender Ausbildung auch mit einem geregelten Aufenthalt kaum Aussicht, sich in beruflicher Hinsicht merklich zu verbessern.</w:t>
      </w:r>
    </w:p>
    <w:p>
      <w:r>
        <w:rPr>
          <w:b/>
        </w:rPr>
        <w:t>E. 7.2.4</w:t>
      </w:r>
    </w:p>
    <w:p>
      <w:r>
        <w:t>Allein aus dem Umstand des hier geborenen Kindes (Beschwerdeführer 3) können die Beschwerdeführer in Bezug auf die Beurteilung eines schwerwiegenden persönlichen Härtefalles noch nichts zu ihren Gunsten ableiten. Zwar ist gemäss Art. 3 Abs. 1 des Übereinkommens vom 20. November 1989 über die Rechte des Kindes (KRK, SR 0.107) das Kindeswohl bei allen Massnahmen, die Minderjährige betreffen, ein Aspekt von vorrangiger Bedeutung. Ungeachtet der umstrittenen Frage der unmittelbaren Anwendung dieser Bestimmung, ist das Kindeswohl zumindest im Rahmen einer völkerrechtskonformen Auslegung des Landesrechts zu berücksichtigen. Dem wird in der Praxis insofern Rechnung getragen, als der fortschreitenden sozialen und schulischen Integration von Kindern in der Schweiz regelmässig besonderes Gewicht beigemessen wird (Urteil des Bundesverwaltungsgerichts C-4306/2007 vom 11. Dezember 2009 E. 7.4). Vorliegend ist der Beschwerdeführer 3 erst zweieinhalb Jahre alt und somit in einem anpassungsfähigen Alter, in dem die persönliche Entwicklung stark an die Beziehung der Eltern gebunden ist und die Eingliederung in ein neues Lebensumfeld erfahrungsgemäss noch keine besonderen Schwierigkeiten bereitet (vgl. Urteil des Bundesverwaltungsgerichts C-873/2008 vom 5. Januar 2010 E. 7.5 mit Hinweisen). Eine nicht mit dem Schutzanliegen des Kindeswohls zu vereinbarende Belastung in der Entwicklung des Beschwerdeführers 3 ist folglich nicht zu befürchten, wenn er die Schweiz zusammen mit seinen Eltern verlassen und zukünftig in der Türkei leben würde.</w:t>
      </w:r>
    </w:p>
    <w:p>
      <w:r>
        <w:rPr>
          <w:b/>
        </w:rPr>
        <w:t>E. 7.2.5</w:t>
      </w:r>
    </w:p>
    <w:p>
      <w:r>
        <w:t>In Bezug auf die Möglichkeit der Wiedereingliederung der Beschwerdeführer in ihr Heimatland spielt ihr Gesundheitszustand ebenfalls keine ausschlaggebende Rolle. Die Probleme im Zusammenhang mit der Geburt des Beschwerdeführers 3 sind inzwischen überwunden (gesundheitliche Komplikationen während und nach der Geburt, Operation des Beschwerdeführers 3 im Juni 2009). Gleiches gilt auch bezüglich der posttraumatischen Belastungsstörung der Beschwerdeführerin 2. Einerseits wurde bereits im Asylverfahren in Kenntnis dieser gesundheitlichen Probleme eine konkrete Gefährdung bei einer Rückkehr in das Heimatland verneint und auf die Möglichkeit einer entsprechenden medizinischen Behandlung in der Türkei hingewiesen (vgl. Urteil des Bundesverwaltungsgerichts D-3492/2006 vom 31. Juli 2008 E. 7.4.2). Andererseits können Probleme mit den türkischen Behörden im Zusammenhang mit den politischen Aktivitäten der Verwandten der Beschwerdeführerin 2 (mehrere anerkannte Flüchtlinge in verschiedenen europäischen Staaten) nach so vielen Jahren ausgeschlossen werden, zumal weder sie noch der Beschwerdeführer 1 sich je selber politisch aktiv betätigten (vgl. Urteil des Bundesverwaltungsgerichts D-3492/2006 vom 31. Juli 2008 E. 5.6.2). Schliesslich führt auch das im Beschwerdeverfahren eingereichte ärztliche Bestätigungsschreiben vom 1. Oktober 2010, wonach der Beschwerdeführer 1 in psychotherapeutischer Betreuung sei, nicht zu einer anderen Einschätzung. Dieses Schreiben bestätigt lediglich, dass das lange Warten und die Ungewissheit, wie der Entscheid ausfallen wird, für ihn belastend sei und seine seelische Gesundheit gefährde.</w:t>
      </w:r>
    </w:p>
    <w:p>
      <w:r>
        <w:rPr>
          <w:b/>
        </w:rPr>
        <w:t>E. 7.2.6</w:t>
      </w:r>
    </w:p>
    <w:p>
      <w:r>
        <w:t>Die Beschwerdeführer 1 und 2 sind im Alter von 24 bzw. 23 Jahren in die Schweiz gelangt. Sie haben somit den grössten Teil ihres bisherigen Lebens in der Türkei verbracht, darunter die prägenden Phasen als Jugendliche und junge Erwachsene (Besuch der Schule und erste berufliche Tätigkeit). Die Rückkehr in den Herkunftsstaat erscheint daher nicht mit besonderen Schwierigkeiten verbunden, zumal beide Elternpaare und insgesamt vier Geschwister noch dort leben. Dieses familiäre Beziehungsnetz kann ihnen in sozialer Hinsicht Halt geben und zumindest indirekt auch bei der wirtschaftlichen Eingliederung behilflich sein. Aus den Akten ergibt sich ferner nichts, das auf derart enge Beziehungen zur Schweiz schliessen liesse, dass von den Beschwerdeführen nicht verlangt werden könnte, ihr Leben in einem andern Land, insbesondere in ihrem Heimatland, weiterzuführen. Dass ein Cousin des Vaters der Beschwerdeführerin 2 in der Schweiz lebt, wird im Übrigen zu Recht nicht als Grund für das Vorliegen eines schwerwiegenden persönlichen Härtefalles geltend gemacht.</w:t>
      </w:r>
    </w:p>
    <w:p>
      <w:r>
        <w:rPr>
          <w:b/>
        </w:rPr>
        <w:t>E. 8</w:t>
      </w:r>
    </w:p>
    <w:p>
      <w:r>
        <w:t>Das Bundesverwaltungsgericht kommt im Rahmen einer Gesamtwürdigung zum Schluss, dass trotz einer vergleichsweise guten Integration bei den Beschwerdeführern kein schwerwiegender persönlicher Härtefall vorliegt, wenn sie die Schweiz verlassen müssen. Daraus folgt, dass die Vorinstanz die Zustimmung zur Erteilung einer Aufenthaltsbewilligung gemäss Art. 14 Abs. 2 AsylG im vorliegenden Fall zu Recht verweigert hat (Art. 49 VwVG). Die Beschwerde ist daher abzuweisen, soweit darauf eizuzutreten ist.</w:t>
      </w:r>
    </w:p>
    <w:p>
      <w:r>
        <w:rPr>
          <w:b/>
        </w:rPr>
        <w:t>E. 9</w:t>
      </w:r>
    </w:p>
    <w:p>
      <w:r>
        <w:t>Bei diesem Ausgang des Verfahrens würden die Beschwerdeführer grundsätzlich kostenpflichtig. Da sie jedoch offensichtlich bedürftig sind und ihre Begehren nicht aussichtslos erschienen (vgl. Art. 65 Abs. 1 VwVG) sind in Gutheissung des Gesuchs um Gewährung der unentgeltliche Rechtspflege keine Verfahrenskosten zu erheben.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