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C-1409/2014 vom 25. Mai 2016</w:t>
      </w:r>
    </w:p>
    <w:p>
      <w:r>
        <w:t>Bundesverwaltungsgericht, 2016-05-25, IT</w:t>
      </w:r>
    </w:p>
    <w:p>
      <w:r>
        <w:rPr>
          <w:b/>
        </w:rPr>
        <w:t xml:space="preserve">Quelle: </w:t>
      </w:r>
      <w:r>
        <w:t>https://mcp.opencaselaw.ch/entscheid/bvger_C-1409_2014</w:t>
      </w:r>
    </w:p>
    <w:p>
      <w:r>
        <w:t>FR: TAF C-1409/2014 du 25 mai 2016</w:t>
      </w:r>
    </w:p>
    <w:p>
      <w:r>
        <w:t>IT: TAF C-1409/2014 del 25 maggio 2016</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agli art. 33 e 34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giudica quale autorità di grado inferiore al Tribunale federale (art. 1 cpv. 2 LTAF in relazione con l'art. 11 par. 1 e 3 ALC; cfr. sentenza del TF 2C_1092/2013 del 4 luglio 2014 consid. 1.1 con rinvii).</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A questo stadio non occorre dilungarsi oltre sulla questione se l'autorità intimata poteva emanare un divieto d'entrata dal momento che sul principio da parte del ricorrente la questione non è oggetto di contestazione. Lo è invece la questione della durata del provvedimento.</w:t>
      </w:r>
    </w:p>
    <w:p>
      <w:r>
        <w:rPr>
          <w:b/>
        </w:rPr>
        <w:t>E. 3.2</w:t>
      </w:r>
    </w:p>
    <w:p>
      <w:r>
        <w:t>Occorre non di meno ricordare in entrata che le nozioni d'ordine e di sicurezza pubblici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LStr, FF 2002 3327, pag. 3424).</w:t>
      </w:r>
    </w:p>
    <w:p>
      <w:r>
        <w:rPr>
          <w:b/>
        </w:rPr>
        <w:t>E. 3.3</w:t>
      </w:r>
    </w:p>
    <w:p>
      <w:r>
        <w:t>Il ricorrente è in casu di nazionalità italiana, di conseguenza nella valutazione della presente causa è necessario tenere conto delle disposizioni dell'ALC (RS 0.142.112.681). La LStr (RS 142.20) è applicabile solo se detto Accordo non contiene disposizioni derogatorie o se la legge precitata prevede disposizioni più favorevoli (art. 2 cpv. 2 LStr).</w:t>
      </w:r>
    </w:p>
    <w:p>
      <w:r>
        <w:rPr>
          <w:b/>
        </w:rPr>
        <w:t>E. 3.4</w:t>
      </w:r>
    </w:p>
    <w:p>
      <w:r>
        <w:t>L'art. 67 cpv. 3 2a frase LStr permette alla SEM di pronunciare un divieto d'entrata per una durata maggiore a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3.5</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3.6</w:t>
      </w:r>
    </w:p>
    <w:p>
      <w:r>
        <w:t>A tal proposito la recente giurisprudenza ha stabilito che la nozione di «pericolo grave» richiede un grado di gravità maggiore al «semplice» pericolo o minaccia all'ordine e la sicurezza pubblici (art. 67 cpv. 2 lett. a LStr), ma anche maggiore alla nozione di «pericolo di una certa gravità», necessaria per pronunciare un divieto d'entrata per un cittadino di uno Stato ALC. Operando un raffronto con la nozione di «pericolo di una certa gravità» dell'art. 5 allegato 1 ALC (cfr. per una casistica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et al., Migrationsrecht, 4a ed. 2015, ad art. 67 LStr, n. marg. 5, pag. 270; Andrea Binder Oser, in: Caroni et al., Bundesgesetz über die Ausländerinnen und Ausländer, 2010, ad art. 67 LStr, n. marg. 24, pag. 689). Essa può infatti fondarsi sulla natura del bene giuridico in pericolo (ad esempio: minaccia grave alla vita, l'integrità della persona, l'integrità sessuale o 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(DTF 139 II 121 consid. 6).</w:t>
      </w:r>
    </w:p>
    <w:p>
      <w:r>
        <w:rPr>
          <w:b/>
        </w:rPr>
        <w:t>E. 3.7</w:t>
      </w:r>
    </w:p>
    <w:p>
      <w:r>
        <w:t>Dalle tavole processuali risulta che l'interessato ha avuto dei problemi con la giustizia durante la sua lunga permanenza sul territorio della Confederazione. Egli, ancor minorenne, è stato condannato con decreto del 22 febbraio 2008 del Magistrato dei minorenni, per appropriazione semplice, ripetuto furto, ripetuto danneggiamento, perturbamento della circolazione, falsità in certificati, atti preparatori in rapina, ripetuta circolazione senza licenza di condurre, circolazione senza licenza di circolazione, abuso della licenza e delle targhe, ad una pena di trenta giorni di carcerazione sospesa condizionalmente per un periodo di prova di due anni. Di seguito, con decreto del 3 ottobre 2008 del Magistrato dei minorenni, riconosciuto autore colpevole di contravvenzione alla legge federale sul trasporto pubblico, è stato condannato ad una multa di fr. 70.-. A ciò fa seguito una condanna pecuniaria del 19 dicembre 2008 per lesioni semplici. Segue quindi una condanna pronunciata dal Presidente delle assise correzionali in data 25 maggio 2010 ad una pena detentiva di 18 mesi per essersi reso colpevole di rapina, ripetuto furto, danneggiamento e violazione di domicilio, ripetuto abuso della licenza e delle targhe, ripetuta circolazione senza licenza di condurre o nonostante la revoca e senza licenza di circolazione, furto d'uso, contravvenzione alla LStup (RS 812.121). In data 16 luglio 2013 egli è oggetto di condanna dalla Corte delle assise criminali ad una ulteriore pena di 18 mesi di detenzione per essersi reso colpevole di rapina aggravata tentata; ripetuto furto, in parte tentato; danneggiamento; contravvenzione alla LStup.</w:t>
      </w:r>
    </w:p>
    <w:p>
      <w:r>
        <w:rPr>
          <w:b/>
        </w:rPr>
        <w:t>E. 3.8</w:t>
      </w:r>
    </w:p>
    <w:p>
      <w:r>
        <w:t>Va poi di transenna menzionata la decisione di revoca del permesso di domicilio del 15 novembre 2013 sulla base di motivi di ordine pubblico.</w:t>
      </w:r>
    </w:p>
    <w:p>
      <w:r>
        <w:rPr>
          <w:b/>
        </w:rPr>
        <w:t>E. 3.9</w:t>
      </w:r>
    </w:p>
    <w:p>
      <w:r>
        <w:t>Da quanto esposto ci si trova quindi di fronte ad una persona che ha occupato la giustizia penale già prima di raggiungere la maggiore età. Il perpetrarsi dell'attività delittuosa è poi continuata da maggiorenne, manifestando una escalation ed una certa regolarità, tanto da occupare dapprima le assise correzionali per poi comparire di seguito dinnanzi anche ad un'assise criminale. Se alcuni dei reati commessi presi singolarmente possono apparire di minore importanza e sebbene le infrazioni commesse da A._______ non implicassero certamente la messa in pericolo di beni giuridici quali la vita o l'integrità delle persone, bensì del patrimonio, per esempio per quanto concerne il reato di furto aggravato o il danneggiamento, nonché della libertà personale (per quanto attiene alla violazione di domicilio ai sensi dell'art. 186 CP), presi nel complesso, checché ne dica il patrocinatore, tentando di sminuire la portata degli atti commessi, danno un quadro meno rassicurante della propensione recidivante del ricorrente a delinquere, avuto peraltro anche riguardo del fatto che, per esempio, furti con scasso in abitazioni private possono essere particolarmente pericolosi in quanto altamente lesivi della sfera personale delle vittime, le cui reazioni potrebbero essere di difficile previsione, dunque anche violente, in caso di incontro tra le stesse e gli autori del furto (cfr. DTAF 2014/20 consid. 5.3).</w:t>
      </w:r>
    </w:p>
    <w:p>
      <w:r>
        <w:rPr>
          <w:b/>
        </w:rPr>
        <w:t>E. 3.10</w:t>
      </w:r>
    </w:p>
    <w:p>
      <w:r>
        <w:t>Ciò posto, il Tribunale non può che giungere alla conclusione che l'interessato costituisce un grave pericolo per l'ordine e la sicurezza pubblici. Ne discende che i comportamenti elencati, sanzionati da specifiche norme del diritto penale, giustificano l'emanazione di un divieto d'entrata conformemente all'art. 67 cpv. 2 lett. a LStr per una durata superiore a 5 anni giusta l'art. 67 cpv. 3 2a frase LStr.</w:t>
      </w:r>
    </w:p>
    <w:p>
      <w:r>
        <w:rPr>
          <w:b/>
        </w:rPr>
        <w:t>E. 4.1</w:t>
      </w:r>
    </w:p>
    <w:p>
      <w:r>
        <w:t>A fronte di quanto esposto, resta ora da stabilire se la durata della misura di allontanamento adottata sia conforme al principio di proporzionalità e, procedendo ad un apprezzamento degli interessi privati e pubblici in gioco, valutare se sia adeguata alle circostanze del caso di specie.</w:t>
      </w:r>
    </w:p>
    <w:p>
      <w:r>
        <w:rPr>
          <w:b/>
        </w:rPr>
        <w:t>E. 4.2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4.3</w:t>
      </w:r>
    </w:p>
    <w:p>
      <w:r>
        <w:t>Quo all'interesse pubblico all'allontanamento del ricorrente dal territorio elvetico, si è già detto ai considerandi precedenti.</w:t>
      </w:r>
    </w:p>
    <w:p>
      <w:r>
        <w:rPr>
          <w:b/>
        </w:rPr>
        <w:t>E. 4.4</w:t>
      </w:r>
    </w:p>
    <w:p>
      <w:r>
        <w:t>In merito agli interessi privati, il ricorrente si è richiamato principalmente all'art. 8 CEDU, il quale garantisce il diritto al rispetto della vita privata e familiare, sottolineando che la decisione dell'autorità inferiore comporterebbe l'impossibilità di entrare in Svizzera a fare visita ai genitori e famigliari. L'art. 8 CEDU tutela la vita privata e familiare delle persone. Questa disposizione non garantisce tuttavia il diritto ad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protection de la vie familiale et de la vie privée en droit des étrangers, 2000, pagg. 293 e 321). La protezione del diritto al rispetto della vita privata e familiare conferita dalla norma convenzionale non ha però valenza assoluta, poiché ai sensi dell'art. 8 cpv. 2 CEDU, un'ingerenza delle autorità rimane possibile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famigliari.</w:t>
      </w:r>
    </w:p>
    <w:p>
      <w:r>
        <w:rPr>
          <w:b/>
        </w:rPr>
        <w:t>E. 4.5</w:t>
      </w:r>
    </w:p>
    <w:p>
      <w:r>
        <w:t>In casu, l'interessato si è prevalso del rapporto con padre, madre, sorella e tutti gli amici. Il rapporto tra genitori e figli maggiorenni non è protetto dalla suddetta disposizione convenzionale e nemmeno è dato in casu a vedere che sussista un rapporto di dipendenza dell'interessato con i genitori o con la sorella (DTF 129 II 11 consid. 2). Da quest'ottica la decisione impugnata non viola quindi l'art. 8 CEDU ed il ricorrente non può fondare alcun diritto sulla base di tale disposizione.</w:t>
      </w:r>
    </w:p>
    <w:p>
      <w:r>
        <w:rPr>
          <w:b/>
        </w:rPr>
        <w:t>E. 4.6</w:t>
      </w:r>
    </w:p>
    <w:p>
      <w:r>
        <w:t>Da un punto di vista della situazione personale anche i legami del ricorrente con la Svizzera devono essere relativizzati. Che egli sia figlio di genitori italiani emigrati in Svizzera, straniero quindi di seconda generazione, non è messo in dubbio, ma in casu non ha dimostrato di avere un attaccamento particolare al paese che lo ospita né di essersi prodigato in modo particolare per integrarsi ed avere un comportamento irreprensibile. Ha svolto diversi lavori più o meno saltuari senza dimostrare alcuna continuità nello svolgerli. Non solo. In data 13 novembre 2013 la SPOP aveva revocato il permesso di domicilio con obbligo di lasciare la Svizzera al momento della scarcerazione. Ciò posto, dalle considerazioni che precedono, ne deriva che l'interesse pubblico all'allontanamento di A._______ dalla Svizzera prevale su quello privato di quest'ultimo ad entrarvi.</w:t>
      </w:r>
    </w:p>
    <w:p>
      <w:r>
        <w:rPr>
          <w:b/>
        </w:rPr>
        <w:t>E. 4.7</w:t>
      </w:r>
    </w:p>
    <w:p>
      <w:r>
        <w:t>Per invalsa prassi, la durata, fissata dalla SEM fino al 11 febbraio 2034, dunque per un totale di 20 anni, va non di meno corretta. In applicazione dell'art. 121 cpv. 5 Cost. la giurisprudenza ha avuto modo di stabilire che in caso di grave pericolo per l'ordine e la sicurezza pubblici tale da giustificare il superamento della durata massima di cinque anni prevista all'art. 67 cpv. 3 1a frase LStr, quest'ultima non può superare 15 anni (20 anni in caso di recidiva) (cfr. DTAF 2014/20 consid. 7). Il Tribunale ha altresì stabilito che i comportamenti delittuosi commessi dalla persona toccata dal provvedimento di allontanamento dal suolo elvetico devono aver denotato un'energia criminale particolarmente elevata. In altre parole, è giustificato comminare un divieto d'entrata della durata di 15 anni qualora l'interessato si sia prodigato in atti caratteristici di una criminalità particolarmente grave con dimensione transfrontaliera (atti di terrorismo, tratta di esseri umani, traffico di droga o criminalità organizzata), qualora abbia ripetutamente commesso infrazioni gravi contro beni giuridici sensibili - come ad esempio la vita o l'integrità fisica - oppure abbia agito in maniera che non sia possibile emettere una prognosi favorevole (cfr. DTAF 2014/20 consid. 8.2). Non di meno, in casu, se le infrazioni di A._______, non rientrano nello specifico della casistica testé menzionata, la gravità dei comportamenti che si sono reiterati in più episodi ed a scadenze di una certa regolarità iniziata già in giovane età, non permettono di fissare la misura al di sotto di 15 anni.</w:t>
      </w:r>
    </w:p>
    <w:p>
      <w:r>
        <w:rPr>
          <w:b/>
        </w:rPr>
        <w:t>E. 4.8</w:t>
      </w:r>
    </w:p>
    <w:p>
      <w:r>
        <w:t>In esito alle considerazioni che precedono e conformemente alla citata giurisprudenza, si giustifica una riduzione della durata del divieto d'entrata emanato dalla SEM a 15 anni, di conseguenza i suoi effetti devono essere limitati all'11 febbraio 2029.</w:t>
      </w:r>
    </w:p>
    <w:p>
      <w:r>
        <w:rPr>
          <w:b/>
        </w:rPr>
        <w:t>E. 5</w:t>
      </w:r>
    </w:p>
    <w:p>
      <w:r>
        <w:t>Da quanto esposto, la decisione impugnata non è conforme al diritto federale (cfr. art. 49 PA) e deve essere riformata. Ne discende che il ricorso deve essere parzialmente accolto.</w:t>
      </w:r>
    </w:p>
    <w:p>
      <w:r>
        <w:rPr>
          <w:b/>
        </w:rPr>
        <w:t>E. 6</w:t>
      </w:r>
    </w:p>
    <w:p>
      <w:r>
        <w:t>Visto l'esito della procedura, le spese processuali ridotte (art. 63 cpv. 1 2a frase PA) devono essere poste a carico del ricorrente, in quanto parzialmente soccombente. Tuttavia alla luce della domanda di esonero delle stesse, accolta dal Tribunale con decisione incidentale del 27 gennaio 2015, il ricorrente è esentato dal pagamento di ogni importo.</w:t>
      </w:r>
    </w:p>
    <w:p>
      <w:r>
        <w:rPr>
          <w:b/>
        </w:rPr>
        <w:t>E. 7</w:t>
      </w:r>
    </w:p>
    <w:p>
      <w:r>
        <w:t>Ritenuto che l'insorgente è rappresentato in questa sede da un avvocato, si giustifica l'attribuzione di un'indennità a titolo di spese ripetibili (art. 64 PA in combinato disposto con gli art. 7 e segg. del regolamento sulle tasse e sulle spese ripetibili nelle cause dinanzi al Tribunale amministrativo federale del 21 febbraio 2008 [TS-TAF, RS 173.320.2]). La stessa, in assenza di una nota dettagliata, è fissata d'ufficio in fr. 600.- (disborsi e indennità supplementare in rapporto all'IVA compresi; art. 7-14 TS-TAF), tenuto conto del lavoro effettivo svolto dal patrocinatore del ricorrente. L'indennità per ripetibili è posta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