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C-1397/2014 vom 2. Dezember 2014</w:t>
      </w:r>
    </w:p>
    <w:p>
      <w:r>
        <w:t>Bundesverwaltungsgericht, 2014-12-02, DE</w:t>
      </w:r>
    </w:p>
    <w:p>
      <w:r>
        <w:rPr>
          <w:b/>
        </w:rPr>
        <w:t xml:space="preserve">Quelle: </w:t>
      </w:r>
      <w:r>
        <w:t>https://mcp.opencaselaw.ch/entscheid/bvger_C-1397_2014</w:t>
      </w:r>
    </w:p>
    <w:p>
      <w:r>
        <w:t>FR: TAF C-1397/2014 du 2 décembre 2014</w:t>
      </w:r>
    </w:p>
    <w:p>
      <w:r>
        <w:t>IT: TAF C-1397/2014 del 2 dicembre 2014</w:t>
      </w:r>
    </w:p>
    <w:p>
      <w:pPr>
        <w:pStyle w:val="Heading2"/>
      </w:pPr>
      <w:r>
        <w:t>Regeste</w:t>
      </w:r>
    </w:p>
    <w:p>
      <w:r>
        <w:t>Einreiseverbot</w:t>
      </w:r>
    </w:p>
    <w:p>
      <w:pPr>
        <w:pStyle w:val="Heading2"/>
      </w:pPr>
      <w:r>
        <w:t>Erwägungen</w:t>
      </w:r>
    </w:p>
    <w:p>
      <w:r>
        <w:rPr>
          <w:b/>
        </w:rPr>
        <w:t>E. 1.1</w:t>
      </w:r>
    </w:p>
    <w:p>
      <w:r>
        <w:t>Gemäss Art. 31 VGG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Gemäss Art. 67 Abs. 2 Bst. a AuG kann das BFM gegen ausländische Personen, die gegen die öffentliche Sicherheit und Ordnung in der Schweiz oder im Ausland verstossen haben oder diese gefährden, ein Einreiseverbot erlassen. Das Einreiseverbot wird für eine Dauer von höchstens fünf Jahren verfügt, kann aber für eine längere Dauer angeordnet werden, wenn von der ausländischen Person eine schwerwiegende Gefahr für die öffentliche Sicherheit und Ordnung ausgeht (Art. 67 Abs. 3 AuG; vgl. Urteil des BVGer C 5819/2012 vom 26. August 2014). Aus humanitären oder anderen wichtigen Gründen kann von der Verhängung eines Einreiseverbots abgesehen oder ein Einreiseverbot vollständig oder vorübergehend aufgehoben werden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Schweizer/Sutter/Wid­mer, in: Rainer J. Schweizer [Hrsg.], Sicherheits- und Ordnungsrecht des Bundes, SBVR Bd. III/1, Basel 2008, Teil B, Rz. 12 und 13 mit Hinweisen). Ein Verstoss gegen die öffentliche Sicherheit und Ordnung liegt unter anderem dann vor, wenn gesetzliche Vorschriften oder behördliche Verfügungen missachtet werden (vgl. Art. 80 Abs. 1 Bst. a der Verordnung vom 24. Oktober 2007 über Zulassung, Aufenthalt und Erwerbstätigkeit [VZAE, SR 142.201]). Bestand ein solches Verhalten in der Vergangenheit, so wird die Gefahr entsprechender künftiger Störungen von Gesetzes wegen vermutet (vgl. Botschaft, a.a.O., S. 3760; vgl. auch Urteil des BVGer C 3213/2013 vom 31. Januar 2014 E. 3.2 mit Hinweisen).</w:t>
      </w:r>
    </w:p>
    <w:p>
      <w:r>
        <w:rPr>
          <w:b/>
        </w:rPr>
        <w:t>E. 3.3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jedem Ausländer und jeder Ausländerin, sich über die bestehenden Rechte und Pflichten im Zusammenhang mit ausländerrechtlichen Vorschriften ins Bild zu setzten und sich im Falle von Unklarheiten bei der zuständigen Behörde zu erkundigen (vgl. statt vieler Urteil des BVGer C 935/2014 vom 17. Juni 2014 E. 3.3).</w:t>
      </w:r>
    </w:p>
    <w:p>
      <w:r>
        <w:rPr>
          <w:b/>
        </w:rPr>
        <w:t>E. 4</w:t>
      </w:r>
    </w:p>
    <w:p>
      <w:r>
        <w:t>Wird gegen einen Drittstaatsangehörigen ein Einreiseverbot verhängt, so wird dieses nach Massgabe der Bedeutung des Falles im Schengener Informationssystem (SIS) ausgeschrieben (vgl. Art. 3 Bst. d, Art. 21 und Art. 24 der SIS-II-Verordnung [Abl. L 381/4 vom 28. Dezember 2006], in Kraft seit 9. April 2013 gemäss Beschluss des Rates 2013/158/EU vom 7. März 2013 [Abl. L 87/10 vom 27. März 2013]). Damit wird dem Betroffenen grundsätzlich die Einreise in das Hoheitsgebiet aller Schengen-Mitgliedstaaten verboten (vgl. Art. 5 Abs. 1 Bst. d sowie Art. 13 Abs. 1 Schengener Grenzkodex [SGK, Abl. L 105/1 vom 13. April 2006]).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243/1 vom 15. September 2009).</w:t>
      </w:r>
    </w:p>
    <w:p>
      <w:r>
        <w:rPr>
          <w:b/>
        </w:rPr>
        <w:t>E. 5.1</w:t>
      </w:r>
    </w:p>
    <w:p>
      <w:r>
        <w:t>Die Vorinstanz stützt ihre Verfügung allgemein auf Art. 67 AuG. Bei der Ausreisekontrolle sei festgestellt worden, dass sich die Beschwerdeführerin über den bewilligungsfreien Aufenthalt hinaus illegal im Schengen-Raum aufgehalten habe. Aus den Akten ergibt sich, dass die Beschwerdeführerin insgesamt 180 Tage ununterbrochen im Schengen-Raum geblieben ist, d.h. 90 Tage über den bewilligungsfrei möglichen Aufenthalt hinaus. Deshalb wurde sie mittels Strafbefehls vom 19. No­vem­ber 2013 wegen widerrechtlichen Passierens des Schengen-Landes Schweiz nach Ablauf des bewilligungsfreien Aufenthalts verurteilt. Hierbei handelt es sich grundsätzlich um einen Verstoss gegen die öffentliche Sicherheit und Ordnung, der unter dem Gesichtspunkt von Art. 67 Abs. 2 Bst. a AuG Anlass für die Verfügung einer Fernhaltemassnahme gibt.</w:t>
      </w:r>
    </w:p>
    <w:p>
      <w:r>
        <w:rPr>
          <w:b/>
        </w:rPr>
        <w:t>E. 5.2</w:t>
      </w:r>
    </w:p>
    <w:p>
      <w:r>
        <w:t>Die Beschwerdeführerin bestreitet nicht, gegen die ausländerrechtlichen Vorschriften verstossen zu haben. Allerdings macht sie geltend, sie sei aus wichtigen persönlichen Gründen und aus Unwissenheit über die Vorschriften zu lange in Spanien geblieben. Wie erwähnt, vermag Unwissenheit bezüglich der gesetzlichen Vorschriften deren Verletzung nicht zu entschuldigen. Die Beschwerdeführerin, die sich als argentinische Staatsangehörige während 90 Tagen je 180 Tage-Zeitraum visumsfrei im Schengen-Raum aufhalten darf, hätte sich über die (übrigen) Rahmenbedingungen ihres Aufenthalts in Europa kundig machen müssen. Diese Unterlassung wird auch nicht dadurch relativiert, dass sie gemäss eigenen Angaben wegen gesundheitlicher Probleme ihres Verlobten so lange in Europa geblieben sei, wofür sie im Übrigen keinerlei Beweise vorgelegt hat. Diese Vorbringen geben keinen Anlass, vom Erlass einer Fernhaltemassnahme abzusehen.</w:t>
      </w:r>
    </w:p>
    <w:p>
      <w:r>
        <w:rPr>
          <w:b/>
        </w:rPr>
        <w:t>E. 6.1</w:t>
      </w:r>
    </w:p>
    <w:p>
      <w:r>
        <w:t>Damit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Aus der illegalen Anwesenheit der Beschwerdeführerin im Schengen-Raum wird auf eine Gefährdung der öffentlichen Sicherheit und Ordnung geschlossen (vgl. E. 3.2). An der Einhaltung der Rechtsordnung im allgemeinen und den Vorschriften über Einreise, Aufenthalt und Erwerbstätigkeit im besonderen besteht ein gewichtiges öffentliches Interesse. Gewichtig ist zum einen das generalpräventiv motivierte Interesse, die öffentliche Ordnung durch eine konsequente Massnahmepraxis zu schützen. Zum anderen liegt eine spezialpräventive Zielsetzung der Massnahme darin, die Beschwerdeführerin zu ermahnen, bei einer allfälligen künftigen Wiedereinreise nach Ablauf des Einreiseverbots die für sie geltenden Regeln einzuhalten (vgl. Urteil C 935/2014 E. 6.2). Das öffentliche Interesse an einer zeitweiligen Fernhaltung der Beschwerdeführerin ist demnach als gewichtig anzusehen. Was die Dauer des Einreiseverbots anbelangt, so sind die verfügten 2 Jahre vor dem Hintergrund der konstanten Praxis als gerechtfertigt anzusehen (vgl. etwa Urteile des BVGer C 847/2013 vom 21. März 2014, C 5112/2013 vom 4. März 2014 oder C 5458/2012 vom 23. Oktober 2013).</w:t>
      </w:r>
    </w:p>
    <w:p>
      <w:r>
        <w:rPr>
          <w:b/>
        </w:rPr>
        <w:t>E. 6.3</w:t>
      </w:r>
    </w:p>
    <w:p>
      <w:r>
        <w:t>Als private Interessen an einer ungehinderten Einreise in den Schengen-Raum bringt die Beschwerdeführerin vor, sie beabsichtige ihren in Spanien lebenden Verlobten zu heiraten. Obwohl die Möglichkeit bestehe, anschliessend ein Familiennachzugsgesuch zu stellen, wolle sie das Einreiseverbot aufgehoben sehen. Diese Vorbringen sind nicht geeignet, das oben geschilderte öffentliche Interesse an der Fernhaltung der Beschwerdeführerin in Frage zu stellen. Vielmehr wäre es an ihr, die erforderlichen Schritte zu unternehmen und die spanischen Behörden zu ersuchen, ihr entweder die Einreise zwecks Eheschliessung oder - für den Fall, dass die Heirat in Argentinien stattfindet (vgl. das am 12. August 2014 eingereichte Dokument "Silicitud de Matrimonio") - den Familiennachzug zu gestatten. Wie die Vorinstanz in der Vernehmlassung darlegt, würde das Einreiseverbot aufgehoben und die Ausschreibung im SIS zurückgenommen, sollten die spanischen Behörden der Vorinstanz via dem im Schengen-Recht vorgesehen Verfahren mitteilen, dass der Beschwerdeführerin eine Aufenthaltsbewilligung erteilt werden solle (vgl. Art. 25 Schengener Durchführungsübereinkommen [SDÜ, ABl. L 239/19 vom 22.9.2000] in der Fassung gemäss Verordnung [EU] Nr. 265/2010 vom 25. März 2010 ABl. L 85/1 vom 31.3.2010). Solange kein solches Ersuchen eingeht, gibt es keinen Grund, das Einreiseverbot aufzuheben oder seine Dauer zu kürzen.</w:t>
      </w:r>
    </w:p>
    <w:p>
      <w:r>
        <w:rPr>
          <w:b/>
        </w:rPr>
        <w:t>E. 6.4</w:t>
      </w:r>
    </w:p>
    <w:p>
      <w:r>
        <w:t>Das öffentliche Interesse an der verfügten Fernhaltemassnahme überwiegt demnach das geltend gemachte private Interesse der Beschwerdeführerin. Das für die Dauer von 2 Jahren verhängte Einreiseverbot ist somit sowohl vom Grundsatz als auch von seiner Dauer her als verhältnismässige und angemessene Massnahme zum Schutz der öffentlichen Sicherheit und Ordnung anzusehen. Zudem entspricht es, wie erwähnt, der ständigen Praxis in vergleichbaren Fällen.</w:t>
      </w:r>
    </w:p>
    <w:p>
      <w:r>
        <w:rPr>
          <w:b/>
        </w:rPr>
        <w:t>E. 7</w:t>
      </w:r>
    </w:p>
    <w:p>
      <w:r>
        <w:t>Aus diesen Erwägungen ergibt sich, dass die angefochtene Verfügung im Lichte von Art. 49 VwVG nicht zu beanstanden ist. Die Beschwerde ist daher abzuweisen.</w:t>
      </w:r>
    </w:p>
    <w:p>
      <w:r>
        <w:rPr>
          <w:b/>
        </w:rPr>
        <w:t>E. 8</w:t>
      </w:r>
    </w:p>
    <w:p>
      <w:r>
        <w:t>Bei diesem Ausgang des Verfahrens sind die Kosten der Beschwerdeführerin aufzuerlegen (vgl. Art. 63 Abs. 1 VwVG,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