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C-1392/2012 vom 16. April 2014</w:t>
      </w:r>
    </w:p>
    <w:p>
      <w:r>
        <w:t>Bundesverwaltungsgericht, 2014-04-16, FR</w:t>
      </w:r>
    </w:p>
    <w:p>
      <w:r>
        <w:rPr>
          <w:b/>
        </w:rPr>
        <w:t xml:space="preserve">Quelle: </w:t>
      </w:r>
      <w:r>
        <w:t>https://mcp.opencaselaw.ch/entscheid/bvger_C-1392_2012</w:t>
      </w:r>
    </w:p>
    <w:p>
      <w:r>
        <w:t>FR: TAF C-1392/2012 du 16 avril 2014</w:t>
      </w:r>
    </w:p>
    <w:p>
      <w:r>
        <w:t>IT: TAF C-1392/2012 del 16 aprile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 recours devant le Tribunal est régie par la PA (art. 37 LTAF).</w:t>
      </w:r>
    </w:p>
    <w:p>
      <w:r>
        <w:rPr>
          <w:b/>
        </w:rPr>
        <w:t>E. 1.3</w:t>
      </w:r>
    </w:p>
    <w:p>
      <w:r>
        <w:t>A._______ et B._______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a statué comme autorité de recours (art. 49 PA). Dans la cadre de la procédure de recours, le Tribunal applique d'office le droit fédéral. Conformément à l'art. 62 al. 4 PA, l'autorité de recours n'est pas liée par les motifs invoqués à l'appui du recours, ni par les considérants de la décision attaquée (André Moser/Michael Beusch/Lorenz Kneubühler, Prozessieren vor dem Bundesverwaltungsgericht, 2ème édition, Bâle 2013, ch. 3.197). Aussi peut-elle admettre ou rejeter le pourvoi pour d'autres motifs que ceux invoqués. Dans son arrêt, elle prend en considération l'état de fait tel qu'il se présente au moment où elle statue (ATAF 2012/21 consid. 5.1).</w:t>
      </w:r>
    </w:p>
    <w:p>
      <w:r>
        <w:rPr>
          <w:b/>
        </w:rPr>
        <w:t>E. 3</w:t>
      </w:r>
    </w:p>
    <w:p>
      <w:r>
        <w:t>Dans un grief d'ordre formel qu'il convient d'examiner en premier lieu compte tenu de sa nature cassatoire, les recourants se plaignent d'une notification irrégulière de la décision de l'Ambassade et d'une violation de leur droit d'être entendu.</w:t>
      </w:r>
    </w:p>
    <w:p>
      <w:r>
        <w:rPr>
          <w:b/>
        </w:rPr>
        <w:t>E. 3.1</w:t>
      </w:r>
    </w:p>
    <w:p>
      <w:r>
        <w:t>Les intéressés font d'abord valoir que la décision de refus de visa rendue par l'Ambassade de Suisse à Khartoum le 15 août 2011 ne leur a pas été correctement notifiée, dans la mesure où ils ont été informés du refus de visa par téléphone et que ce n'est qu'après plusieurs échanges de courriers que l'ODM a transmis la décision pour notification à C._______, alors que son adresse avait été donnée à cette fin.</w:t>
      </w:r>
    </w:p>
    <w:p>
      <w:r>
        <w:rPr>
          <w:b/>
        </w:rPr>
        <w:t>E. 3.1.1</w:t>
      </w:r>
    </w:p>
    <w:p>
      <w:r>
        <w:t>La notification irrégulière d'une décision ne doit entraîner aucun préjudice pour les parties (art. 38 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plus récent : arrêt du Tribunal fédéral 6B_801/2013 du 17 décembre 2013 consid. 2.1 ; arrêt du Tribunal administratif fédéral B 5397/2012 du 11 novembre 2013 consid. 7.1 et références citées).</w:t>
      </w:r>
    </w:p>
    <w:p>
      <w:r>
        <w:rPr>
          <w:b/>
        </w:rPr>
        <w:t>E. 3.1.2</w:t>
      </w:r>
    </w:p>
    <w:p>
      <w:r>
        <w:t>En l'espèce, la décision de refus de visa rendue par l'Ambassade n'a pas pu être notifiée par écrit à A._______ et B._______, ceux-ci ne s'étant pas présentés à l'Ambassade, alors qu'ils y avaient pourtant été invités. Par courrier du 29 septembre 2011, l'ODM a - à titre exceptionnel - transmis dite décision à C._______ aux fins de notification, en tant qu'hôte en Suisse. Les prénommés ayant pu valablement former opposition, ils n'ont subi aucun préjudice quand bien même la notification aurait été irrégulière. Ce grief doit donc être rejeté.</w:t>
      </w:r>
    </w:p>
    <w:p>
      <w:r>
        <w:rPr>
          <w:b/>
        </w:rPr>
        <w:t>E. 3.2</w:t>
      </w:r>
    </w:p>
    <w:p>
      <w:r>
        <w:t>En invoquant qu'ils n'ont pas eu accès au dossier de l'ODM, à l'exception des pièces fournies par cette autorité, les intéressés se plaignent d'une violation de leur droit d'être entendu.</w:t>
      </w:r>
    </w:p>
    <w:p>
      <w:r>
        <w:rPr>
          <w:b/>
        </w:rPr>
        <w:t>E. 3.2.1</w:t>
      </w:r>
    </w:p>
    <w:p>
      <w:r>
        <w:t>Le droit d'être entendu inscrit à l'art. 29 al. 2 Cst. comprend notamment le droit de consulter le dossier (ATF 126 I 7 consid. 2b). Cependant, ce droit n'est en général accordé que sur demande (ATF 132 V 387 consid. 6.2).</w:t>
      </w:r>
    </w:p>
    <w:p>
      <w:r>
        <w:rPr>
          <w:b/>
        </w:rPr>
        <w:t>E. 3.2.2</w:t>
      </w:r>
    </w:p>
    <w:p>
      <w:r>
        <w:t>Or, en l'espèce, le Tribunal constate que les recourants n'ont, à aucun stade de la procédure, formulé de demande tendant à la consultation des pièces du dossier. Partant, ils ne sauraient reprocher à l'ODM de ne pas leur avoir spontanément donné accès aux actes relatifs à la présente procédure. Ce grief doit également être rejeté.</w:t>
      </w:r>
    </w:p>
    <w:p>
      <w:r>
        <w:rPr>
          <w:b/>
        </w:rPr>
        <w:t>E. 4</w:t>
      </w:r>
    </w:p>
    <w:p>
      <w:r>
        <w:t>La politique des autorités suisses en matière de visa joue un rôle très important dans la prévention de l'immigration clandestine (voir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(ATF 135 I 143 consid. 2.2 ; voir également l'arrêt du Tribunal administratif fédéral C 6174/2012 du 5 août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3469, spéc. 3531 ; ATF 135 II 1 consid. 1.1 ; ATAF 2009/27 consid. 3 et la jurisprudence citée).</w:t>
      </w:r>
    </w:p>
    <w:p>
      <w:r>
        <w:rPr>
          <w:b/>
        </w:rPr>
        <w:t>E. 5.1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5.2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5.3</w:t>
      </w:r>
    </w:p>
    <w:p>
      <w:r>
        <w:t>Cela est d'ailleurs corroboré par le Règlement (CE) no 810/2009 du Parlement européen et du Conseil du 13 juillet 2009 établissant un code communautaire des visas (code des visas [JO L 243 du 15 septembre 2009], modifié par l'art. 6 du règlement (UE) no 610/2013, op. cit.),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 Aussi, la pratique et la jurisprudence relatives à l'art. 5 al. 2 LEtr, notamment celle concernant la garantie de sortie prévue par l'art. 5 al. 2 LEtr, peuvent-elles être reprises in casu (sur les détails de cette problématique, voir ATAF 2009/27 précité consid. 5.2 et 5.3).</w:t>
      </w:r>
    </w:p>
    <w:p>
      <w:r>
        <w:rPr>
          <w:b/>
        </w:rPr>
        <w:t>E. 5.4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25 par. 1 let. a du code des visas et art. 5 par. 4 let. c du code frontières Schengen).</w:t>
      </w:r>
    </w:p>
    <w:p>
      <w:r>
        <w:rPr>
          <w:b/>
        </w:rPr>
        <w:t>E. 5.5</w:t>
      </w:r>
    </w:p>
    <w:p>
      <w:r>
        <w:t>Le Règlement (CE) no 539/2001 du Conseil du 15 mars 2001 (JO L 81 du 21 mars 2001, p.1-7) différencie, en son art. 1 par. 1 et 2, les ressortissants des Etats tiers selon qu'ils sont soumis ou non à l'obligation du visa. Dans la mesure où ils ne bénéficient pas de la libre circulation au sens du code frontières Schengen et de l'ALCP (art. 3 let. a et art. 2 ch. 5 code frontières Schengen et art. 3 ALCP cum art. 1 ch. 1 et art. 3 de l'Annexe I), et en tant que ressortissants soudanais, les intéressés sont soumis à l'obligation du visa.</w:t>
      </w:r>
    </w:p>
    <w:p>
      <w:r>
        <w:rPr>
          <w:b/>
        </w:rPr>
        <w:t>E. 6</w:t>
      </w:r>
    </w:p>
    <w:p>
      <w:r>
        <w:t>Par la décision querellée, l'ODM a refusé d'autoriser l'entrée en Suisse de A._______ et de son fils, au motif que leur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Au regard de la situation socio-économique prévalant au Soudan, le Tribunal ne saurait d'emblée écarter les craintes émises par l'autorité intimée de voir les intéressés prolonger son séjour en Suisse ou dans l'Espace Schengen au-delà de la date d'échéance du visa sollicité. A ce propos, il faut prendre en considération la qualité de vie et les conditions économiques particulières que connaît l'ensemble de la population du Soudan. Avec un produit intérieur brut (PIB) par habitant estimé à environ 1'500 dollars US, cet Etat demeure très en dessous des standards européens (voir le site internet du Fonds monétaire international : www.imf.org &gt; Data and Statistics &gt; World Economic Outlook Databases &gt; World Economic Outlook Databases october 2013 &gt; By Countries (country-level data) &gt; All countries, consultés en mars 2014). En outre, depuis la séparation avec le Soudan du Sud, la situation économique du Soudan est très difficile. En 2012, ce pays a notamment connu une croissance économique négative et un fort taux d'inflation (voir le site internet du Ministère français des affaires étrangères : www.diplomatie.gouv.fr &gt; Présentation du Soudan, consulté en mars 2014). Par ailleurs, l'indice de développement humain (IDH) 2013, qui prend en compte la santé, l'éducation et le niveau de vie, classe le Soudan à la 171ème position sur 187 pays (voir le site internet des rapports sur le développement humain du Programme des Nations Unies pour le développement www.hdr.undp.org &gt; Countries, consulté en mars 2014). Dès lors, les conditions socio-économiques difficiles et l'instabilité prévalant au Soudan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(voir notamment les arrêts du Tribunal administratif fédéral C-3919/2012 du 16 janvier 2013 consid. 7 et C-3821/2011 du 28 février 2012 consid. 7.1).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(ATAF 2009/27 précité,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aussi arrêt du Tribunal administratif fédéral C-4852/2011 précité, consid. 6.2, et les autres arrêts qui y sont mentionnés).</w:t>
      </w:r>
    </w:p>
    <w:p>
      <w:r>
        <w:rPr>
          <w:b/>
        </w:rPr>
        <w:t>E. 6.3</w:t>
      </w:r>
    </w:p>
    <w:p>
      <w:r>
        <w:t>Il ressort du dossier que A._______ est âgée de trente ans, qu'elle est mariée à un officier de police soudanais avec lequel elle a un enfant et qu'elle est femme au foyer. La prénommée a en outre laconiquement allégué qu'elle aurait un niveau de vie confortable au Soudan, serait propriétaire d'une maison, aurait suivi un cursus universitaire et aurait son centre de vie dans son pays. Ces derniers ne sont toutefois étayés par aucun moyen de preuve. Il convient aussi de relever que la mère et la tante de l'intéressée sont établies en Suisse et que cette dernière voyagera avec son fils. Dans ces circonstances, on ne saurait d'emblée écarter l'hypothèse que, pour un motif ou un autre, A._______ décide de demeurer, fût-ce à titre temporaire, en Suisse à l'issue de séjour autorisé, les attaches professionnelles et familiales de l'intéressée n'apparaissant finalement pas suffisantes au point de la dissuader de prolonger son séjour en Suisse. Au surplus, le fait que A._______ ait indiqué vouloir venir en Suisse rendre visite à sa tante et à C._______ et n'ait jamais mentionné la présence de sa mère en Suisse (cf. demande de visa et procès-verbal d'audition à l'Ambassade) est de nature à créer un doute quant au but réel de son séjour en Suisse. Il semblerait en effet qu'elle viendrait en priorité voir sa mère, le mandataire des recourants s'étant chargé de se porter garant afin de faciliter leur venue.</w:t>
      </w:r>
    </w:p>
    <w:p>
      <w:r>
        <w:rPr>
          <w:b/>
        </w:rPr>
        <w:t>E. 6.4</w:t>
      </w:r>
    </w:p>
    <w:p>
      <w:r>
        <w:t>Tenant compte des éléments qui précèdent, le Tribunal ne saurait exclure que A._______ n'envisage de prolonger son séjour sur le territoire helvétique à l'échéance de son visa, voire n'entame une nouvelle existence dans ce pays, et il ne saurait dès lors reprocher à l'ODM d'avoir confirmé le refus d'autorisation d'entrée dans l'Espace Schengen.</w:t>
      </w:r>
    </w:p>
    <w:p>
      <w:r>
        <w:rPr>
          <w:b/>
        </w:rPr>
        <w:t>E. 6.5</w:t>
      </w:r>
    </w:p>
    <w:p>
      <w:r>
        <w:t>Au demeurant, l'allégation concernant la disparition de la déclaration de prise en charge est sans pertinence dans l'examen du cas d'espèce, dans la mesure où les requêtes sont rejetées pour d'autres motifs que financier.</w:t>
      </w:r>
    </w:p>
    <w:p>
      <w:r>
        <w:rPr>
          <w:b/>
        </w:rPr>
        <w:t>E. 7</w:t>
      </w:r>
    </w:p>
    <w:p>
      <w:r>
        <w:t>Sur un autre plan, le fait que la grand-mère de A._______ ait obtenu un visa d'entrée et soit retournée au Soudan à l'issue du séjour autorisé n'est point de nature à modifier l'analyse faite ci-dessus. En effet, à l'instar de l'ODM, il convient de relever que chaque demande fait l'objet d'un examen individuel et que la situation personnelle de A._______ n'est manifestement pas semblable à celle de sa grand-mère.</w:t>
      </w:r>
    </w:p>
    <w:p>
      <w:r>
        <w:rPr>
          <w:b/>
        </w:rPr>
        <w:t>E. 8</w:t>
      </w:r>
    </w:p>
    <w:p>
      <w:r>
        <w:t>Le Tribunal relève par ailleurs que le désir exprimé par A._______, au demeurant parfaitement compréhensible, de rendre visite aux membres de sa famille domiciliés en Suisse, ne constitue pas à lui seul un motif justifiant l'octroi d'un visa en sa faveur, à propos duquel elle ne saurait au demeurant se prévaloir d'aucun droit (voir consid. 4).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4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10</w:t>
      </w:r>
    </w:p>
    <w:p>
      <w:r>
        <w:t>Par ailleurs, les recourants n'ont pas invoqué de raisons susceptibles de justifier la délivrance d'un visa à validité territoriale limitée (cf. consid. 5.4 ci-avant). Au demeurant, rien dans le dossier n'indique que la mère de l'intéressée serait dans l'impossibilité de rendre visite à sa fille au Soudan.</w:t>
      </w:r>
    </w:p>
    <w:p>
      <w:r>
        <w:rPr>
          <w:b/>
        </w:rPr>
        <w:t>E. 11</w:t>
      </w:r>
    </w:p>
    <w:p>
      <w:r>
        <w:t>Enfin, c'est ici le lieu de rappeler qu'afin de déterminer si le requérant présente les garanties nécessaires à sa sortie de Suisse, l'autorité se base sur la situation générale prévalant dans le pays de provenance de l'intéressé ainsi que sur sa situation personnelle. On ne saurait donc reprocher à l'autorité de prendre une décision contraire à la loi lorsqu'elle se base sur les indices précités (voir consid. 6.1 ci-avant). De même, lorsqu'ils statuent en tenant compte de l'ensemble de ces circonstances, l'ODM et le Tribunal établissent des distinctions qui se justifient pleinement, de sorte qu'on ne saurait y voir une violation de l'interdiction de la discrimination (sur la notion de discrimination, voir ATF 134 I 49 consid. 3.1 et la jurisprudence citée).</w:t>
      </w:r>
    </w:p>
    <w:p>
      <w:r>
        <w:rPr>
          <w:b/>
        </w:rPr>
        <w:t>E. 12</w:t>
      </w:r>
    </w:p>
    <w:p>
      <w:r>
        <w:t>Compte tenu des considérants exposés ci-dessus, le Tribunal estime qu'il ne saurait être reproché à l'ODM d'avoir refusé la délivrance d'une autorisation d'entrée dans l'Espace Schengen en faveur de A._______ et B._______. Il s'ensuit que, par sa décision du 7 février 2012,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