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C-1385/2014 vom 27. April 2016</w:t>
      </w:r>
    </w:p>
    <w:p>
      <w:r>
        <w:t>Bundesverwaltungsgericht, 2016-04-27, IT</w:t>
      </w:r>
    </w:p>
    <w:p>
      <w:r>
        <w:rPr>
          <w:b/>
        </w:rPr>
        <w:t xml:space="preserve">Quelle: </w:t>
      </w:r>
      <w:r>
        <w:t>https://mcp.opencaselaw.ch/entscheid/bvger_C-1385_2014</w:t>
      </w:r>
    </w:p>
    <w:p>
      <w:r>
        <w:t>FR: TAF C-1385/2014 du 27 avril 2016</w:t>
      </w:r>
    </w:p>
    <w:p>
      <w:r>
        <w:t>IT: TAF C-1385/2014 del 27 aprile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Il Tribunale osserva che A._______ nel suo gravame ha invocato la presunta violazione, da parte dell'autorità inferiore, del diritto di essere sentito (cfr. art. 29 cpv. 2 Cost.).</w:t>
      </w:r>
    </w:p>
    <w:p>
      <w:r>
        <w:rPr>
          <w:b/>
        </w:rPr>
        <w:t>E. 3.2</w:t>
      </w:r>
    </w:p>
    <w:p>
      <w:r>
        <w:t>Tra le garanzie procedurali generali previste all'art. 29 Cost. vi è appunto anche il diritto di essere sentito (cfr. art. 29 cpv. 2 Cost.), il quale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Nel quadro della procedura amministrativa il diritto di essere sentito è consacrato dagli art. 26-28 (diritto di esaminare gli atti), dagli art. 29-33 (diritto di essere sentito strictu sensu) e dall'art. 35 PA (diritto di ottenere una decisione motivata).</w:t>
      </w:r>
    </w:p>
    <w:p>
      <w:r>
        <w:rPr>
          <w:b/>
        </w:rPr>
        <w:t>E. 3.3</w:t>
      </w:r>
    </w:p>
    <w:p>
      <w:r>
        <w:t>In merito a quest'ultima esigenza la giurisprudenza ha dedotto dal diritto di essere sentito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(cfr. DTF 139 V 496 consid. 5.1; 139 IV 179 consid. 2.2; 138 I 232 consid. 5.1). Si è in presenza di una violazione del diritto di essere sentiti se l'autorità non soddisfa al suo obbligo di esaminare e di trattare i problemi pertinenti. Per adempiere a tali esigenze, è sufficiente che l'autorità menzioni, almeno brevemente, i motivi sui quali ha fondato la sua decisione, in modo da permettere all'interessato di apprezzare la portata di quest'ultima e di impugnarla in piena conoscenza di causa (cfr. DTF 141 II 28 consid. 3.2.4). Eccezionalmente a un'eventuale violazione può essere posto rimedio, fermo restando che una violazione grave di questo principio, pur tenendo conto delle esigenze di economia di procedura, non può essere sanata (cfr. ad es. DTF 138 III 225 consid. 3.3; 137 I 195 consid. 2.2 e 2.3.2; DTAF 2013/46 consid. 6.3.7; 2012/24 consid. 3.4 e riferimenti ivi citati).</w:t>
      </w:r>
    </w:p>
    <w:p>
      <w:r>
        <w:rPr>
          <w:b/>
        </w:rPr>
        <w:t>E. 3.4</w:t>
      </w:r>
    </w:p>
    <w:p>
      <w:r>
        <w:t>Nel caso di specie A._______ sostiene che l'autorità inferiore non avrebbe chiarito i motivi per cui la moglie non può prevalersi dell'ALC, di conseguenza anche la motivazione inerente l'effetto sospensivo sarebbe del tutto carente.</w:t>
      </w:r>
    </w:p>
    <w:p>
      <w:r>
        <w:rPr>
          <w:b/>
        </w:rPr>
        <w:t>E. 3.5</w:t>
      </w:r>
    </w:p>
    <w:p>
      <w:r>
        <w:t>Il Tribunale è dell'avviso che la censura del ricorrente non sia sufficientemente circostanziata. Al contrario A._______ si limita ad invocare la violazione dell'obbligo di motivare la decisione impugnata in maniera estremamente generica, senza indicare come la SEM avrebbe disatteso tale principio. Invero nella decisione impugnata l'autorità inferiore ha brevemente esposto i motivi per cui non ritiene applicabili al ricorrente le disposizioni di cui all'ALC. Ne discende che detta censura va deserta e come tale respinta.</w:t>
      </w:r>
    </w:p>
    <w:p>
      <w:r>
        <w:rPr>
          <w:b/>
        </w:rPr>
        <w:t>E. 4.1</w:t>
      </w:r>
    </w:p>
    <w:p>
      <w:r>
        <w:t>Ai termini dell'art. 2 cpv. 3 LStr ai cittadini degli Stati membri della Comunità europea e ai loro familiari si applica l'ALC; la LStr si applica solamente qualora l'ALC non contenga disposizioni derogatorie o qualora la LStr non preveda disposizioni più favorevoli.</w:t>
      </w:r>
    </w:p>
    <w:p>
      <w:r>
        <w:rPr>
          <w:b/>
        </w:rPr>
        <w:t>E. 4.2</w:t>
      </w:r>
    </w:p>
    <w:p>
      <w:r>
        <w:t>Giusta l'art. 3 par. 1 e 2 dell'allegato I all'ALC i membri della famiglia di un cittadino di una parte contraente avente un diritto di soggiorno hanno diritto di stabilirsi con esso. Sono considerati membri della famiglia, qualunque sia la loro cittadinanza, il coniuge e i loro discendenti minori di 21 anni o a carico. Inoltre ai sensi dell'art. 1 par. 1 dell'allegato I all'ALC (in relazione con l'art. 3 ALC) i cittadini comunitari ed i membri della loro famiglia sono ammessi nel territorio degli Stati membri dietro semplice presentazione di una carta d'identità o di un passaporto validi.</w:t>
      </w:r>
    </w:p>
    <w:p>
      <w:r>
        <w:rPr>
          <w:b/>
        </w:rPr>
        <w:t>E. 4.3</w:t>
      </w:r>
    </w:p>
    <w:p>
      <w:r>
        <w:t>Nel caso concreto, per A._______ deve essere escluso il richiamo all'ALC. Se il riconoscimento di un diritto derivato alla libera circolazione presuppone che l'originario titolare di tale diritto abbia egli stesso fatto uso dei diritti e delle libertà riconosciuti dall'ALC, dagli atti all'inserto non risulta che i diritti originari della moglie e dei figli - cittadini spagnoli - siano esercitati, rimanendo essi in territorio spagnolo e non essendoci indicazioni al riguardo di un eventuale trasferimento della terzogenita al di fuori della Svizzera (cfr. sulla questione Sentenze del TF 2C_1092/2013 del 4 luglio 2014 consid. 6.2.3; 2C_862/2014 del 18 luglio 2014 consid. 6.2.3).</w:t>
      </w:r>
    </w:p>
    <w:p>
      <w:r>
        <w:rPr>
          <w:b/>
        </w:rPr>
        <w:t>E. 5.1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5.2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 come nella fattispecie -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a validità territoriale limitata (art. 25 par. 1 lett. a [ii] del regolamento [CE] n° 810/2009 del Parlamento europeo e del Consiglio del 13 luglio 2009 che istituisce un codice comunitario dei visti [Codice dei visti, GU L 23 del 15 settembre 2009]).</w:t>
      </w:r>
    </w:p>
    <w:p>
      <w:r>
        <w:rPr>
          <w:b/>
        </w:rPr>
        <w:t>E. 5.3</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5.4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3a ed. 2012, ad art. 67 LStr, n. marg. 3, pag. 195).</w:t>
      </w:r>
    </w:p>
    <w:p>
      <w:r>
        <w:rPr>
          <w:b/>
        </w:rPr>
        <w:t>E. 5.5</w:t>
      </w:r>
    </w:p>
    <w:p>
      <w:r>
        <w:t>In virtù del messaggio LStr precitato (FF 2002 3327, pag. 3428) l'emanazione di un divieto d'entrata non deve essere interpretato quale sanzione dal carattere penale, bensì quale misura di protezione a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6.1</w:t>
      </w:r>
    </w:p>
    <w:p>
      <w:r>
        <w:t>Nella fattispecie in disanima, la SEM ha pronunciato nei confronti di A._______ un divieto d'entrata della durata di 15 anni, ossia fino all'11 febbraio 2029, ritenendo che il comportamento dell'interessato, condannato per infrazione aggravata e contravvenzione alla LStup e per attività lucrativa senza autorizzazione, costituisce una grave violazione e esposizione a pericolo dell'ordine e della sicurezza pubblici.</w:t>
      </w:r>
    </w:p>
    <w:p>
      <w:r>
        <w:rPr>
          <w:b/>
        </w:rPr>
        <w:t>E. 6.2</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7.1</w:t>
      </w:r>
    </w:p>
    <w:p>
      <w:r>
        <w:t>Come testé rilevato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7.2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7.3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 op. cit., ad art. 67 LStr, n. marg. 5, pag. 196; Andrea Binder Oser, in Caroni/Gächter/Thurnherr, Bundesgesetz über die Ausländerinnen und Ausländer [AuG], 2010, ad art. 67 LStr, n. marg. 24, pag. 689).</w:t>
      </w:r>
    </w:p>
    <w:p>
      <w:r>
        <w:rPr>
          <w:b/>
        </w:rPr>
        <w:t>E. 7.4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8.1</w:t>
      </w:r>
    </w:p>
    <w:p>
      <w:r>
        <w:t>Dato che l'autorità inferiore ha pronunciato un divieto d'entrata di durata superiore a 5 anni, va qui di seguito esaminato, prima di procedere ad una ponderazione degli interessi in gioco, se è soddisfatto il criterio della minaccia grave giusta l'art. 67 cpv. 3 2a frase LStr.</w:t>
      </w:r>
    </w:p>
    <w:p>
      <w:r>
        <w:rPr>
          <w:b/>
        </w:rPr>
        <w:t>E. 8.2</w:t>
      </w:r>
    </w:p>
    <w:p>
      <w:r>
        <w:t>Come si è visto, i comportamenti penalmente reprensibili ascritti a A._______ riguardano l'infrazione aggravata e la contravvenzione alla LStup, nonché l'attività lucrativa senza autorizzazione ai sensi dell'art. 115 cpv. 1 lett. c LStr. Dalla condanna pronunciata dalla Corte delle assise criminali di Lugano il 26 giugno 2013, si evince infatti che il ricorrente nel periodo compreso tra il 2009 e la primavera 2011 ha alienato e procurato in altro modo a terzi 1'220 grammi di cocaina, ha acquistato per proprio uso personale nonché consumato almeno 50 grammi di cocaina, e ha esercitato in Svizzera un'attività lucrativa senza il necessario permesso per una durata complessiva di 5 mesi. Detti comportamenti sono stati sanzionati dall'autorità penale con una pena privativa della libertà di 3 anni, di cui 20 mesi sospesi condizionalmente per un periodo di prova di 3 anni (cfr. sentenza della Corte delle assise criminali di Lugano del 26 giugno 2013, pagg. 1-8 dell'incarto Simic).</w:t>
      </w:r>
    </w:p>
    <w:p>
      <w:r>
        <w:rPr>
          <w:b/>
        </w:rPr>
        <w:t>E. 8.3</w:t>
      </w:r>
    </w:p>
    <w:p>
      <w:r>
        <w:t>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alla sicurezza e all'ordine pubblico (cfr. sentenza del TF 2C_139/2013 dell'11 giugno 2013 consid. 6.2.3 e riferimenti ivi citati). Come testé rilevato A._______ ha partecipato alla compravendita di 1'220 grammi di cocaina e consumato 50 grammi della stessa sostanza, è dunque innegabile che si tratti di un reato assai grave, poiché il quantitativo di sostanza stupefacente in questione è importante e atto a mettere in pericolo la salute di molte persone.</w:t>
      </w:r>
    </w:p>
    <w:p>
      <w:r>
        <w:rPr>
          <w:b/>
        </w:rPr>
        <w:t>E. 8.4</w:t>
      </w:r>
    </w:p>
    <w:p>
      <w:r>
        <w:t>Inoltre, occorre tenere in considerazione che il ricorrente, sebbene fino a quel momento fosse incensurato, ha agito sull'arco di un periodo di tempo piuttosto lungo, ovvero dal 2009 alla primavera 2011. A._______ si è altresì macchiato del delitto di attività lucrativa senza autorizzazione ai sensi dell'art. 115 cpv. 1 lett. c LStr per un periodo che non può certamente essere definito breve, ossia 5 mesi.</w:t>
      </w:r>
    </w:p>
    <w:p>
      <w:r>
        <w:rPr>
          <w:b/>
        </w:rPr>
        <w:t>E. 8.5</w:t>
      </w:r>
    </w:p>
    <w:p>
      <w:r>
        <w:t>Alla luce di questi elementi, il Tribunale considera che la condotta dell'interessato costituisce un grave pericolo per l'ordine e la sicurezza pubblici, ragione per cui è giustificata l'emanazione di un divieto d'entrata conformemente all'art. 67 cpv. 2 lett. a LStr per una durata superiore a cinque anni giusta l'art. 67 cpv. 3 2a frase LStr.</w:t>
      </w:r>
    </w:p>
    <w:p>
      <w:r>
        <w:rPr>
          <w:b/>
        </w:rPr>
        <w:t>E. 9.1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9.2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9.3</w:t>
      </w:r>
    </w:p>
    <w:p>
      <w:r>
        <w:t>Quo all'interesse pubblico all'allontanamento del ricorrente dal territorio elvetico, si è già detto ai considerandi precedenti.</w:t>
      </w:r>
    </w:p>
    <w:p>
      <w:r>
        <w:rPr>
          <w:b/>
        </w:rPr>
        <w:t>E. 9.4</w:t>
      </w:r>
    </w:p>
    <w:p>
      <w:r>
        <w:t>In merito agli interessi privati, il ricorrente si è richiamato principalmente all'art. 8 CEDU, il quale garantisce il diritto al rispetto della vita privata e familiare, sottolineando che la decisione dell'autorità inferiore comporterebbe l'impossibilità di sviluppare il rapporto stretto e duraturo sia con la moglie e i figli residenti in Spagna, sia con la terzogenita domiciliata in Svizzera.</w:t>
      </w:r>
    </w:p>
    <w:p>
      <w:r>
        <w:rPr>
          <w:b/>
        </w:rPr>
        <w:t>E. 9.5</w:t>
      </w:r>
    </w:p>
    <w:p>
      <w:r>
        <w:t>Come detto, l'art. 8 CEDU tutela la vita privata e familiare delle persone. Questa disposizione non garantisce tuttavia il diritto ad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9.6</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w:t>
      </w:r>
    </w:p>
    <w:p>
      <w:r>
        <w:rPr>
          <w:b/>
        </w:rPr>
        <w:t>E. 9.7</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9.8</w:t>
      </w:r>
    </w:p>
    <w:p>
      <w:r>
        <w:t>L'interessato si è prevalso del rapporto con la moglie e i primi due figli residenti in Spagna e con la terzogenita domiciliata in Svizzera, frutto di una relazione extraconiugale.</w:t>
      </w:r>
    </w:p>
    <w:p>
      <w:r>
        <w:rPr>
          <w:b/>
        </w:rPr>
        <w:t>E. 9.8.1</w:t>
      </w:r>
    </w:p>
    <w:p>
      <w:r>
        <w:t>In merito a queste relazioni il Tribunale non può che allinearsi alla posizione dell'autorità inferiore, la quale ha considerato che la portata dei legami con la moglie e i primi due figli vada relativizzata, avendo il ricorrente, durante la sua presenza in Svizzera, appunto coltivato una relazione sentimentale al di fuori del matrimonio che ha portato alla nascita di una bambina. Sebbene A._______ abbia dichiarato di avere intenzione di trasferirsi in Spagna presso la propria famiglia, il Tribunale non può esimersi dal costatare come quest'affermazione non sia suffragata da alcun riscontro fattuale concreto, non avendo l'interessato fornito alcuna prova in merito, ad eccezione della dichiarazione rilasciata dalla moglie dinanzi a un notaio di G._______ il 28 febbraio 2014 (cfr. doc. F allegato al ricorso del 14 marzo 2014), la cui portata, a mente del Tribunale, deve essere relativizzata e occorre considerarla come un semplice auspicio da parte di B._______, a cui però non ha fatto seguito alcuna informazione circa l'eventuale desiderato rientro di A._______ in Spagna presso la famiglia. Al contrario dagli atti di causa emerge unicamente che l'interessato si trovasse in Svizzera, mentre i figli risiedono con la madre in Spagna, ne discende che i legami intercorsi non possono essere particolarmente stretti, vista la distanza. A ben vedere dai documenti all'inserto non vi sono indicazioni circa l'effettività e l'ampiezza dei legami tra il ricorrente ed i figli cittadini spagnoli, non avendo A._______ fornito alcuna indicazione al riguardo e venendo così meno al proprio dovere di collaborare nell'accertamento dei fatti giuridicamente rilevanti.</w:t>
      </w:r>
    </w:p>
    <w:p>
      <w:r>
        <w:rPr>
          <w:b/>
        </w:rPr>
        <w:t>E. 9.8.2</w:t>
      </w:r>
    </w:p>
    <w:p>
      <w:r>
        <w:t>Quo al rapporto con la terzogenita domiciliata in Svizzera, il Tribunale giunge alla medesima conclusione, in quanto il ricorrente si è limitato ad affermare di intrattenere regolari contatti con la figlia e di contribuire al suo mantenimento, salvo poi astenersi dal produrre una qualsivoglia prova dell'effettività e dell'intensità di queste relazioni e del reale rispetto dell'obbligo di mantenimento, così come stabilito dal Bezirksgericht di Zurigo mediante decisione dell'11 settembre 2013 versata agli atti (cfr. doc. G allegato al ricorso del 14 marzo 2014).</w:t>
      </w:r>
    </w:p>
    <w:p>
      <w:r>
        <w:rPr>
          <w:b/>
        </w:rPr>
        <w:t>E. 9.8.3</w:t>
      </w:r>
    </w:p>
    <w:p>
      <w:r>
        <w:t>In conclusione, da quanto precede la decisione di divieto d'entrata nei confronti del ricorrente è conforme all'art. 8 CEDU conto tenuto degli interessi pubblici in gioco. Nondimeno, alla luce degli interessi privati e dell'insieme delle circostanze del caso di specie, ed in particolare del fatto che A._______ sembra essersi effettivamente astenuto dal commettere nuovi atti delittuosi in Svizzera successivamente ai fatti di cui alla condanna del 29 giugno 2013 - ciò che è bene sottolineare, costituisce un presupposto indispensabile ai fini di una normale convivenza all'interno della società - e della presenza della figlia di nazionalità svizzera, il Tribunale ritiene che la durata del divieto d'entrata comminato dall'autorità inferiore debba essere ridotta a 10 anni, di conseguenza i suoi effetti devono essere limitati all'11 febbraio 2024.</w:t>
      </w:r>
    </w:p>
    <w:p>
      <w:r>
        <w:rPr>
          <w:b/>
        </w:rPr>
        <w:t>E. 9.9</w:t>
      </w:r>
    </w:p>
    <w:p>
      <w:r>
        <w:t>Come si è visto A._______ ha dichiarato che l'iscrizione del divieto d'entrata nel SIS gli impedirebbe di poter realizzare il proprio desiderio di istallarsi in Spagna con la moglie ed i figli. Detta censura non permette al Tribunale di giungere ad altra conclusione che l'interesse pubblico all'allontanamento dell'interessato dal territorio della Confederazione e dall'aera Schengen prevalga su quello privato a potervi entrare, fermo restando che, come precedentemente rilevato al consid. 5.2, il ricorrente ha la facoltà di chiedere alla competenti autorità spagnole il rilascio di un titolo di soggiorno in Spagna indipendentemente dall'iscrizione nel SIS del suo divieto d'entrata. L'iscrizione dell'interessato nel SIS è, a mente dello scrivente Tribunale, giustificata e proporzionale, visti i fatti ritenuti (cfr. art. 21 e art. 24 par. 2 regolamento SIS II). Nell'ambito dell'implementazione della legislazione Schengen la Svizzera è in effetti chiamata a preservare gli interessi di tutti gli Stati membri (cfr. DTAF 2011/48 consid. 6.1). Fermo restando che ciò, come precedentemente rilevato, non impedisce agli altri Stati parte agli accordi di Schengen di autorizzare l'entrata dell'interessato sul loro territorio per motivi seri, o di emanare nei suoi confronti un visto a validità territoriale limitata (cfr. consid. 5.2 supra).</w:t>
      </w:r>
    </w:p>
    <w:p>
      <w:r>
        <w:rPr>
          <w:b/>
        </w:rPr>
        <w:t>E. 10</w:t>
      </w:r>
    </w:p>
    <w:p>
      <w:r>
        <w:t>Da quanto esposto, discende che il ricorso, nella misura in cui ammissibile, deve essere parzialmente accolto, le spese giudiziarie e le ripetibili seguono la soccombenza, considerato tuttavia come ai sensi dell'art. 63 cpv. 2 PA nessuna spesa processuale è messa a carico dell'autorità inferiore.</w:t>
      </w:r>
    </w:p>
    <w:p>
      <w:r>
        <w:rPr>
          <w:b/>
        </w:rPr>
        <w:t>E. 11</w:t>
      </w:r>
    </w:p>
    <w:p>
      <w:r>
        <w:t>Ritenuto che l'insorgente, fino alla comunicazione della revoca del mandato da parte del suo patrocinatore del 29 agosto 2014, era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[TS-TAF, RS 173.320.2]). La stessa, in assenza di una nota dettagliata, è fissata d'ufficio in fr. 600.-, IVA esclusa (cfr. art. 1 cpv. 2 in correlazione con gli art. 8 cpv. 1 e 18 cpv. 1 LIVA [RS 641.20]; sentenze del TAF C-3457/2011 del 10 maggio 2012 consid. 11.1; nonché C-1677/2011 del 13 gennaio 2012 consid. 5.3), tenuto conto del lavoro effettivo svolto dal patrocinatore del ricorrente. L'indennità per ripetibili è posta a carico della SEM.</w:t>
      </w:r>
    </w:p>
    <w:p>
      <w:r>
        <w:rPr>
          <w:b/>
        </w:rPr>
        <w:t>E. 12</w:t>
      </w:r>
    </w:p>
    <w:p>
      <w:r>
        <w:t>Non essendo impugnabile con ricorso in materia di diritto pubblico dinanzi al Tribunale federale, la presente pronuncia è quindi definitiva (art. 83 lett. c cifra 1 LTF). Essendo il ricorrente senza recapito, la presente sentenza è notificata per via di pubblicazione sul Foglio federale.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