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C-1385/2012 vom 14. September 2012</w:t>
      </w:r>
    </w:p>
    <w:p>
      <w:r>
        <w:t>Bundesverwaltungsgericht, 2012-09-14, FR</w:t>
      </w:r>
    </w:p>
    <w:p>
      <w:r>
        <w:rPr>
          <w:b/>
        </w:rPr>
        <w:t xml:space="preserve">Quelle: </w:t>
      </w:r>
      <w:r>
        <w:t>https://mcp.opencaselaw.ch/entscheid/bvger_C-1385_2012</w:t>
      </w:r>
    </w:p>
    <w:p>
      <w:r>
        <w:t>FR: TAF C-1385/2012 du 14 septembre 2012</w:t>
      </w:r>
    </w:p>
    <w:p>
      <w:r>
        <w:t>IT: TAF C-1385/2012 del 14 settembre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dans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2011/1 consid. 2 p. 4 et jurisprudence citée).</w:t>
      </w:r>
    </w:p>
    <w:p>
      <w:r>
        <w:rPr>
          <w:b/>
        </w:rPr>
        <w:t>E. 3</w:t>
      </w:r>
    </w:p>
    <w:p>
      <w:r>
        <w:t>Le recourant se plaint en premier lieu d'une violation du droit d'être entendu, dans la mesure où l'autorité intimée ne connaissait pas sa situation et qu'elle ne pouvait donc se faire une idée des intérêts en présence au moment où elle a prononcé la décision querellée.</w:t>
      </w:r>
    </w:p>
    <w:p>
      <w:r>
        <w:rPr>
          <w:b/>
        </w:rPr>
        <w:t>E. 3.1</w:t>
      </w:r>
    </w:p>
    <w:p>
      <w:r>
        <w:t>La jurisprudence du Tribunal fédéral a déduit du droit d'être entendu, garanti par l'art. 29 al. 2 de la Constitution fédérale de la Confédération suisse du 18 avril 1999 (Cst., RS 101) et défini par les dispositions spéciales de procédure, notamment le droit pour le justiciable de s'expliquer - en s'exprimant sur les éléments pertinents avant qu'une décision ne soit prise à son détriment - et d'obtenir une décision motivée (cf. ATF 132 V 368 consid. 3.1 p. 369s., ATF 129 II 497 consid. 2.2 p. 504s., ATF 126 I 15 consid. 2a/aa p. 16s., et la jurisprudence citée ; ATAF 2007/21 consid. 10.2 p. 248s., et les références citées ; Jurisprudence des autorités administratives de la Confédération [JAAC] 63.66 consid. 2 ; André Grisel, Traité de droit administratif, Neuchâtel 1984, vol. I, p. 380ss). Le droit d'être entendu est consacré, en procédure administrative fédérale, notamment par les art. 29 à 33 (droit d'être entendu stricto sensu) et l'art. 35 PA (droit d'obtenir une décision motivée).</w:t>
      </w:r>
    </w:p>
    <w:p>
      <w:r>
        <w:rPr>
          <w:b/>
        </w:rPr>
        <w:t>E. 3.2</w:t>
      </w:r>
    </w:p>
    <w:p>
      <w:r>
        <w:t>S'agissant du droit d'être entendu stricto sensu, l'art. 30 al. 1 PA prévoit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132 II 485 consid. 3 p. 494s., ATF 126 V 130 consid. 2b p. 131s., et la jurisprudence citée ; Grisel, op. cit., p. 380s. ; Fritz Gygi, Bundesverwaltungsrechtspflege, Berne 1983, p. 69).</w:t>
      </w:r>
    </w:p>
    <w:p>
      <w:r>
        <w:rPr>
          <w:b/>
        </w:rPr>
        <w:t>E. 3.3</w:t>
      </w:r>
    </w:p>
    <w:p>
      <w:r>
        <w:t>Dans le cas d'espèce, il apparaît que le recourant a été interpellé lors de sa sortie de Suisse le 14 octobre 2011 et qu'il a fait l'objet d'un rapport d'appréhension établi le même jour par les gardes-frontières de l'aéroport de Genève. Dans le cadre de cette interpellation, l'intéressé a également pris connaissance d'un formulaire intitulé "Droit d'être entendu en cas de mesure d'éloignement", qu'il a signé le même jour, dans lequel il a été expressément rendu attentif à l'éventualité du prononcé d'une interdiction d'entrée, au sujet duquel il pouvait s'exprimer. Ce dernier n'a cependant fait aucune déclaration. Dès lors, il ne saurait être fait grief à l'ODM d'avoir statué sur la base des pièces du dossier en sa possession et de l'état de fait qui en ressortait. En conséquence, le grief de violation du droit d'être entendu doit être écarté.</w:t>
      </w:r>
    </w:p>
    <w:p>
      <w:r>
        <w:rPr>
          <w:b/>
        </w:rPr>
        <w:t>E. 4.1</w:t>
      </w:r>
    </w:p>
    <w:p>
      <w:r>
        <w:t>Conformément à l'art. 5 al. 1 de la loi fédérale du 16 décembre 2005 sur les étrangers (LEtr, RS 142.20),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trois mois ou à des fins de transit sont régies par l'art. 5 du règlement (CE) n° 562/2006 du Parlement européen et du Conseil du 15 mars 2006 établissant un code communautaire relatif au régime de franchissement des frontières par les personnes (code frontières Schengen, JO L 105 du 13 avril 2006, p. 1 à 32). L'art. 5 par. 1 du code frontières Schengen, dont le contenu coïncide largement avec celui de l'art. 5 al. 1 LEtr précité (cf. à ce propos Philipp Egli / Tobias Meyer in : Caroni / Gächter / Thurnherr, Bundesgesetz über die Ausländerinnen und Ausländer, Berne 2010, ad art. 5 LEtr, n° 14), prescrit que pour un séjour n'excédant pas trois mois sur une période de six mois, les conditions d'entrée pour les ressortissants de pays tiers sont les suivantes : être en possession d'un document ou de documents de voyage en cours de validité permettant le franchissement de la frontière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4.2</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5</w:t>
      </w:r>
    </w:p>
    <w:p>
      <w:r>
        <w:t>L'interdiction d'entrée, qui permet d'empêcher l'entrée ou le retour en Suisse (et dans l'Espace Schengen ; cf. arrêt du Tribunal administratif fédéral C-6528/2008 du 14 mai 2009 consid. 4)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 ATAF 2008/24 consid. 4.2).</w:t>
      </w:r>
    </w:p>
    <w:p>
      <w:r>
        <w:rPr>
          <w:b/>
        </w:rPr>
        <w:t>E. 6.1</w:t>
      </w:r>
    </w:p>
    <w:p>
      <w:r>
        <w:t>Aux termes de l'art. 67 al. 1 LEtr, l'ODM interdit l'entrée en Suisse, sous réserve de l'al. 5, à un étranger frappé d'une décision de renvoi lorsque le renvoi est immédiatement exécutoire en vertu de l'art. 64d al. 2 let. a à c LEtr (let. a) ou lorsque l'étranger n'a pas quitté la Suisse dans le délai imparti (let. b). Ces conditions sont alternatives (cf. Message du Conseil fédéral sur l'approbation et la mise en oeuvre de l'échange de notes entre la Suisse et la CE concernant la reprise de la directive CE sur le retour [directive 2008/115/CE] [développement de l'acquis Schengen], FF 2009 8057).</w:t>
      </w:r>
    </w:p>
    <w:p>
      <w:r>
        <w:rPr>
          <w:b/>
        </w:rPr>
        <w:t>E. 6.2</w:t>
      </w:r>
    </w:p>
    <w:p>
      <w:r>
        <w:t>Selon l'art. 67 al. 2 LEtr, l'ODM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6.3</w:t>
      </w:r>
    </w:p>
    <w:p>
      <w:r>
        <w:t>Lorsqu'une décision d'interdiction d'entrée au sens de l'art. 67 LEtr est prononcée à l'endroit d'une personne non-ressortissante de l'un des Etats parties aux Accords d'association à Schengen (lesquels sont énumérés à l'annexe 1 chiffre 1 de la LEtr), cette personne - conformément aux art. 94 par. 1 et 96 de la Convention d'application de l'accord de Schengen ([CAAS], JO L 239 du 22 septembre 2000 pp. 19 à 62) et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administratif fédéral C-6801/2010 du 1er avril 2011 consid. 4 et C-1667/2010 du 21 mars 2011 consid. 3.3).</w:t>
      </w:r>
    </w:p>
    <w:p>
      <w:r>
        <w:rPr>
          <w:b/>
        </w:rPr>
        <w:t>E. 6.4.1</w:t>
      </w:r>
    </w:p>
    <w:p>
      <w:r>
        <w:t>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w:t>
      </w:r>
    </w:p>
    <w:p>
      <w:r>
        <w:rPr>
          <w:b/>
        </w:rPr>
        <w:t>E. 6.4.2</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6.4.3</w:t>
      </w:r>
    </w:p>
    <w:p>
      <w:r>
        <w:t>Une interdiction d'entrée peut notamment être prononcée lorsque l'étranger a violé les prescriptions du droit en matière d'étrangers (cf. message précité, FF 2002 3568). Selon la jurisprudence, le fait de séjourner et/ou de travailler en Suisse sans autorisation constitue une violation grave des prescriptions de police des étrangers (cf. arrêt du Tribunal administratif fédéral C-1450/2011 du 14 juin 2012 consid. 4.4 et référence citée).</w:t>
      </w:r>
    </w:p>
    <w:p>
      <w:r>
        <w:rPr>
          <w:b/>
        </w:rPr>
        <w:t>E. 6.5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Andreas Zünd / Ladina Arquint Hill, Beendigung der Anwesenheit, Entfernung und Fernhaltung, in : Uebersax / Rudin / Hugi Yar / Geiser [éd.], Ausländerrecht, 2ème éd., Bâle 2009, ch. 8.80 p. 356). 7.1 En l'occurrence, le 24 janvier 2012, l'autorité intimée a prononcé à l'endroit de X._______ une décision d'interdiction d'entrée en Suisse d'une durée de 2 ans, dont les effets s'étendent donc jusqu'au 22 janvier 2014, estimant que le recourant avait porté atteinte à la sécurité et l'ordre publics en raison de son séjour illégal dans l'Espace Schengen. 7.2 Conformément à l'art. 1, par. 2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les ressortissants canadiens sont exemptés de l'obligation de visa pour entrer sur le territoire des États membres pour des séjours ne dépassant pas trois mois par période de six mois. Ces derniers peuvent donc séjourner dans l'Espace Schengen sans être soumis à l'obligation de visa pendant une durée maximale de trois mois au cours d'une période de six mois à compter de la date de leur première entrée. 7.3 Le Tribunal constate, au vu des pièces du dossier, que X._______ est entré en Suisse par l'aéroport de Genève le 21 janvier 2011 et en est ressorti par le même aéroport le 14 octobre 2011, soit bien au-delà de la période de 90 jours durant laquelle il était dispensé d'autorisation selon le règlement (CE) n° 539/2001 (cf. consid. 7.2). Certes, dans le recours, l'intéressé a allégué qu'il avait alterné des séjours en France et en Suisse dont la durée n'excédait pas 90 jours chacun. Il n'en demeure pas moins que, ces deux pays étant membres de l'Espace Schengen, le séjour global du prénommé dans dit Espace du 20 avril 2011 au 14 octobre 2011 - soit pendant 178 jours - était irrégulier. Il convient également de relever que, lorsqu'elles prononcent des mesures d'éloignement dont les effets s'étendent à tout l'Espace Schengen, les autorités suisses ne sauraient faire abstraction d'un séjour irrégulier sur le territoire d'un autre Etat membre de l'Espace Schengen (sur la question de la prise en considération, dans le prononcé d'une mesure d'interdiction d'entrée en Suisse, d'un séjour illégal dans l'Espace Schengen, cf. Marc Spescha/Antonia Kerland/Peter Bolzli, Handbuch zum Migrationsrecht, Zürich 2010, p. 233, et l'arrêt du Tribunal administratif fédéral C-2771/2010 du 3 février 2012 consid. 5). 7.4 Cet état de fait n'est pas contesté par le recourant, qui a toutefois fait valoir dans son mémoire de recours qu'il ignorait que la Suisse fût déjà un Etat membre de l'Espace Schengen et qu'il pensait en toute bonne foi pouvoir alterner ses séjours de trois mois entre le territoire helvétique et la France. Le Tribunal de céans considère que, même dans l'hypothèse où le recourant se trouvait effectivement dans l'ignorance, ainsi qu'il l'affirme, du fait que la Suisse fît partie de l'Espace Schengen, il n'en demeure pas moins qu'il lui incombait de s'informer sur les prescriptions en vigueur en matière de police des étrangers du pays dans lequel il entendait se rendre et, en cas d'incertitude à ce propos, de se renseigner auprès des autorités compétentes. La méconnaissance ou la mésinterprétation de la réglementation en matière de visa ou de séjour ne constitue par principe pas un motif de renonciation au prononcé d'une mesure d'éloignement (cf. en ce sens arrêt du Tribunal administratif fédéral C-2771/2010 du 3 février 2012, consid. 4.4 et réf. citée). Cela étant, l'ignorance dont se prévaut le recourant n'est guère crédible au vu des nombreux voyages touristiques que ce dernier affirme avoir effectué en Europe (cf. mémoire de recours p. 2). 7.5 Le Tribunal relève donc que X._______ a violé les prescriptions en matière de police des étrangers, infraction qu'il a reconnue et pour laquelle il a au demeurant été condamné (cf. ordonnance pénale du 24 octobre 2011). Certes, le recourant a allégué que l'infraction commise ne pouvait être considérée comme grave et qu'on pouvait retenir qu'il avait agi par négligence au sens de l'art. 115 al. 3 LEtr, dans la mesure où il n'avait fait l'objet que d'une amende (cf. mémoire de recours p. 6). Il sied toutefois de rappeler que l'autorité compétente en matière de droit des étrangers n'est pas liée par les décisions prises en matière pénale. Elle s'inspire en effet de considérations différentes de celles qui guident l'autorité pénale. Pour l'autorité de police des étrangers, l'ordre et la sécurité publics sont prépondérants; ainsi, en l'occurrence, cette dernière doit résoudre la question de savoir si le cas est grave d'après les critères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arrêt du Tribunal administratif fédéral C-7771/2009 du 7 mars 2011 consid. 5.3 et jurisprudence citée). 7.6 Vu ce qui précède, le Tribunal estime que l'interdiction d'entrée prononcée à l'endroit de X._______ est justifiée, dans la mesure où l'intéressé a bien attenté à la sécurité et à l'ordre publics en raison de son séjour illégal dans l'Espace Schengen.</w:t>
      </w:r>
    </w:p>
    <w:p>
      <w:r>
        <w:rPr>
          <w:b/>
        </w:rPr>
        <w:t>E. 8.1</w:t>
      </w:r>
    </w:p>
    <w:p>
      <w:r>
        <w:t>Il convient encore d'examiner si la mesure d'éloignement prise par l'ODM satisfait aux principes de proportionnalité et de l'égalité de traitement.</w:t>
      </w:r>
    </w:p>
    <w:p>
      <w:r>
        <w:rPr>
          <w:b/>
        </w:rPr>
        <w:t>E. 8.2</w:t>
      </w:r>
    </w:p>
    <w:p>
      <w:r>
        <w:t>Lorsque l'autorité administrative prononce une interdiction d'entrée, elle doit en effet respecter les principes susmentionnés et s'interdire tout arbitraire (cf. Grisel, op.cit., p. 339ss, 348ss, 358ss et 364ss ; Blaise Knapp, Précis de droit administratif, Bâle/Francfort-sur-le-Main 1991, p. 103ss, 113ss et 124ss; cf. consid. 6.6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p. 104, ATF 135 I 176 consid. 8.1 p. 186, ATF 133 I 110 consid. 7.1 p. 123, et la jurisprudence citée; cf. également la doctrine citée ci-dessus).</w:t>
      </w:r>
    </w:p>
    <w:p>
      <w:r>
        <w:rPr>
          <w:b/>
        </w:rPr>
        <w:t>E. 8.3</w:t>
      </w:r>
    </w:p>
    <w:p>
      <w:r>
        <w:t>En l'espèce, le recourant n'a pas respecté les prescriptions légales en vigueur sur le séjour en Suisse et dans l'Espace Schengen</w:t>
      </w:r>
    </w:p>
    <w:p>
      <w:r>
        <w:rPr>
          <w:b/>
        </w:rPr>
        <w:t>E. 8.3.1</w:t>
      </w:r>
    </w:p>
    <w:p>
      <w:r>
        <w:t>L'interdiction d'entrée prononcée à l'endroit de X._______ est une mesure administrative de contrôle : elle se justifie dans le but de tenir le recourant éloigné de l'Espace Schengen, où il a contrevenu aux prescriptions légales. Il en va de l'intérêt de l'Etat à voir respecter l'ordre établi et la législation en vigueur (cf. arrêt du Tribunal administratif fédéral C-3427/2011 du 6 mars 2012, consid. 10.3.1). Par ailleurs, les actes reprochés au recourant ne sauraient être minimisés. Il convient en particulier de rappeler que celui-ci a séjourné illégalement durant près de six mois dans l'Espace Schengen. Comme relevé ci-dessus, le recourant ne peut se prévaloir de sa méconnaissance pour justifier l'infraction commise (cf. consid. 7.4).</w:t>
      </w:r>
    </w:p>
    <w:p>
      <w:r>
        <w:rPr>
          <w:b/>
        </w:rPr>
        <w:t>E. 8.3.2</w:t>
      </w:r>
    </w:p>
    <w:p>
      <w:r>
        <w:t>Dans le cadre de l'analyse du principe de proportionnalité au sens étroit, l'intérêt privé du recourant à pouvoir se déplacer librement en Suisse et dans l'Espace Schengen est un élément qui doit être examiné. A ce titre, l'intéressé invoque la propriété d'un bien immobilier en France, à savoir une maison d'habitation mitoyenne à rénover (cf. attestation notariale datée du 20 mai 2009 et jointe en annexe au recours), raison pour laquelle il se rendait fréquemment en ce pays pour y suivre les travaux en cours. Il en découle que X._______ dispose certes d'un intérêt privé à pouvoir se rendre dans l'Espace Schengen. Compte tenu de l'intérêt public non négligeable à tenir le prénommé éloigné de l'Espace Schengen, l'intérêt privé du recourant ne saurait toutefois justifier qu'il soit renoncé à toute mesure d'interdiction d'entrée ou que les effets de la mesure d'éloignement soient limités au territoire helvétique, comme le demande le prénommé dans ses observations du 13 juillet 2012. En effet, d'une part il convient de relever que l'intéressé a également commis une infraction sur le territoire français en y demeurant au-delà du séjour autorisé, et d'autre part, il lui demeure toujours loisible de solliciter auprès des autorités françaises compétentes une autorisation lui permettant d'entrer sur le territoire de ce pays pour des motifs sérieux, d'ordre humanitaire, d'intérêt national ou résultant d'obligations internationales (cf. consid. 6.3).</w:t>
      </w:r>
    </w:p>
    <w:p>
      <w:r>
        <w:rPr>
          <w:b/>
        </w:rPr>
        <w:t>E. 8.4</w:t>
      </w:r>
    </w:p>
    <w:p>
      <w:r>
        <w:t>Tenant compte de l'ensemble des éléments objectifs et subjectifs de la cause, le Tribunal juge que l'interdiction d'entrée en Suisse prise par l'autorité inférieure le 24 janvier 2012 est nécessaire et adéquate afin de prévenir toute nouvelle atteinte à la sécurité et à l'ordre publics en Suisse et dans l'Espace Schengen. La durée de la mesure - deux ans - fondée sur un séjour illégal d'un peu moins de six mois dans l'Espace Schengen, tient suffisamment compte de l'intérêt privé du recourant relatif à la détention d'un bien immobilier et, partant, respecte le principe de proportionnalité. Par ailleurs, considérant les décisions prises par les autorités dans des cas analogues, la mesure n'est pas contraire au principe d'égalité de traitement. Il convient par conséquent de confirmer la décision de l'autorité de première instance.</w:t>
      </w:r>
    </w:p>
    <w:p>
      <w:r>
        <w:rPr>
          <w:b/>
        </w:rPr>
        <w:t>E. 9</w:t>
      </w:r>
    </w:p>
    <w:p>
      <w:r>
        <w:t>Il ressort de ce qui précède que par sa décision du 24 janvier 2012, l'ODM n'a ni violé le droit fédéral, ni constaté des faits pertinents de manière inexacte ou incomplète. En outre, cette décision n'est pas inopportune (art. 49 PA). En conséquence, le recours est rejeté. Vu l'issue de la cause, les frais de procédure sont mis à la charge du recourant (art. 63 al. 1 PA en relation avec l'art. 1 et l'art.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