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C-1385/2009 vom 22. März 2011</w:t>
      </w:r>
    </w:p>
    <w:p>
      <w:r>
        <w:t>Bundesverwaltungsgericht, 2011-03-22, DE</w:t>
      </w:r>
    </w:p>
    <w:p>
      <w:r>
        <w:rPr>
          <w:b/>
        </w:rPr>
        <w:t xml:space="preserve">Quelle: </w:t>
      </w:r>
      <w:r>
        <w:t>https://mcp.opencaselaw.ch/entscheid/bvger_C-1385_2009</w:t>
      </w:r>
    </w:p>
    <w:p>
      <w:r>
        <w:t>FR: TAF C-1385/2009 du 22 mars 2011</w:t>
      </w:r>
    </w:p>
    <w:p>
      <w:r>
        <w:t>IT: TAF C-1385/2009 del 22 marzo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Ein­spracheentscheid der IV-Stelle für Versicherte im Ausland vom 21. März 2007. Der Beschwerdeführer hat frist- und formgerecht (Art. 60 ATSG) Beschwerde erhoben. Durch die Verfügung ist er besonders berührt und hat ein schutzwürdiges Interesse an deren Änderung oder Aufhebung (Art. 59 ATSG). Nachdem auch der eingeforderte Kosten­vorschuss geleistet wurde, ist auf das ergriffene Rechtsmittel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Da der Beschwerdeführer Staatsangehöriger Kroatiens ist, finden die Bestimmungen des Abkommens vom 9. April 1996 zwischen der Schweizerischen Eidgenossenschaft und der Republik Kroatien über soziale Sicherheit (SR 0.831.109.291.1) Anwendung. Demnach bestimmt sich die Frage, ob und gegebenenfalls ab wann Anspruch auf Leistungen der schweizerischen Invalidenversicherung besteht, für den Beschwerdeführer allein aufgrund der schweizerischen Rechtsvorschriften (vgl. Art. 2 bis 4 dieses Abkommens). Nach dem Gesagten bestimmt sich vorliegend der Anspruch des Be­schwerdeführers auf Leistungen der Invalidenversicherung nach dem schweizerischen Recht, insbesondere dem IVG, der Verordnung über die Invalidenversicherung vom 17. Januar 1961 (IVV, SR 831.201), des ATSG sowie der entsprechenden Verordnung vom 11. September 2002 (ATSV, SR 830.11).</w:t>
      </w:r>
    </w:p>
    <w:p>
      <w:r>
        <w:rPr>
          <w:b/>
        </w:rPr>
        <w:t>E. 4.1</w:t>
      </w:r>
    </w:p>
    <w:p>
      <w:r>
        <w:t>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30. Janaur 2009) eingetretenen Sachverhalt abgestellt wird (BGE 132 V 2 E. 1, 129 V 4 E. 1.2 mit Hinweisen), sind im vorliegenden Fall bis zum 31. Dezember 2007 die auf den 1. Januar 2004 in Kraft getretenen Bestim­mungen der 4. IV-Revision anwendbar, und ab dem 1. Januar 2008 die zu diesem Zeitpunkt in Kraft getretenen Bestimmungen der 5. IV-Revi­sion (AS 2007 5129 bzw. AS 2007 5155); denn ein allfälliger Leis­tungsanspruch ist für die Zeit vor einem Rechtswechsel aufgrund der bisherigen und ab diesem Zeitpunkt nach den neuen Normen zu prü­fen (pro rata temporis; BGE 130 V 445)</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w:t>
      </w:r>
    </w:p>
    <w:p>
      <w:r>
        <w:rPr>
          <w:b/>
        </w:rPr>
        <w:t>E. 5.1</w:t>
      </w:r>
    </w:p>
    <w:p>
      <w:r>
        <w:t>Anspruch auf eine ganze Invalidenrente besteht gemäss Art. 28 Abs. 1 IVG (in der bis Ende 2007 geltenden Fassung) bzw. Art. 28 Abs. 2 IVG (in der ab 2008 geltenden Fassung)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(in der bis zum 31. Dezember 2007 geltenden Fassung) werden Renten, die einem Invaliditätsgrad von weniger als 50% entsprechen, jedoch nur an Versicherte ausgerichtet, die ihren Wohnsitz und gewöhnlichen Aufenthalt (Art. 13 ATSG) in der Schweiz haben.</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Erwerbsunfähigkeit ist, ver-einfacht ausgedrückt, die durch einen Gesundheitsschaden verur-sachte Unfähigkeit, durch zu­mutbare Arbeit Geld zu verdienen (Alfred Maurer, Bundessozialversi­cherungsrecht, Basel 1993, S. 140).</w:t>
      </w:r>
    </w:p>
    <w:p>
      <w:r>
        <w:rPr>
          <w:b/>
        </w:rPr>
        <w:t>E. 5.3</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ist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Dabei obliegt die Beurteilung der sich aus ei­nem Gesundheitsschaden ergebenden funktionellen Leistungsfähigkeit (z.B. nur sitzende oder stehende Arbeiten, nur beschränktes Heben/ Tragen von Lasten, Arbeit im Freien oder in geheizten Räumen u.a.) den Ärzten, wogegen die von der IV-Stelle gegebenenfalls heran­zuziehenden Fachleute der Berufsberatung bestimmen können, wel­che ganz konkreten beruflichen Tätigkeiten auf Grund der ärztlichen Angaben und unter Berücksichtigung der übrigen Fähigkeiten der ver­sicherten Person in Frage kommen (Urteil des Bundesgerichts vom 4. Juli 2008, 9C_833/2007 E. 3.3.2 mit Hinweisen, SVR 2001 IV Nr. 10, E. 1). Die rein wirtschaftlichen und rechtlichen Beurteilungen, insbe­sondere im Zusammenhang mit der Bestimmung der Erwerbsfähigkeit, obliegt dagegen der Verwaltung und im Beschwerdefall dem Gericht.</w:t>
      </w:r>
    </w:p>
    <w:p>
      <w:r>
        <w:rPr>
          <w:b/>
        </w:rPr>
        <w:t>E. 5.4</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(bei einer im Ausland wohnenden Person wie vor­liegend 50%) bleibend erwerbsunfähig bzw. bleibend invalid (vgl. Thomas Locher, Grundriss des Sozialversicherungsrechts, Bern 2003, §52 N13) geworden ist (Bst. a: Dauerinvalidität) oder während eines Jahres ohne wesentlichen Unterbruch zu mindestens 40% (im Ausland 50%) arbeitsunfähig gewesen war (Bst. b: langdauernde Krankheit). Gemäss der ab 1. Januar 2008 geltenden Fassung von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(im Ausland 50%) arbeitsunfähig (Art. 6 ATSG) gewesen sind und auch nach Ablauf dieses Jahres zu mindestens 40 % (im Ausland 50%) invalid (Art. 8 ATSG) sind (lit. b und c). Für die Annahme bleibender Invalidität im Sinne von Art. 29 Abs. 1 Bst. a IVG und Art. 29 IVV ist nach ständiger Rechtsprechung des EVG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5.5</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6</w:t>
      </w:r>
    </w:p>
    <w:p>
      <w:r>
        <w:t>Der Beschwerdeführer hat nach Verlassen der Schweiz im Jahre 1998 angeblich keine Erwerbstätigkeit mehr ausgeübt, so dass vorliegend allein aufgrund der ärztlichen Angaben zu prüfen ist, ob er ab Januar 2004 (1 Jahr vor dem Rentengesuch) bis zum 30. Januar 2009 (Zeitpunkt der angefochtenen Verfügung) eine rentenbegründende Invalidität erlitten hat.</w:t>
      </w:r>
    </w:p>
    <w:p>
      <w:r>
        <w:rPr>
          <w:b/>
        </w:rPr>
        <w:t>E. 6.1</w:t>
      </w:r>
    </w:p>
    <w:p>
      <w:r>
        <w:t>Den umfangreichen ärztlichen Unterlagen ist zu entnehmen, dass der Beschwerdeführer im Wesentlichen an einer seit April 2005 medizinisch dokumentierten, leichten bis mittelgradig depressiven Episode mit somatischem Syndrom (ICD-10: F32.01), einem Problem der Krankheitsbewältigung bei einem chronifizierten Schmerzsyndrom (ICD-10: F54), einem diffusen chronischen Schmerzsyndrom zervikozephal und -brachial linksbetont (ICD-10: M 54.2), panvertebral sowie in den unteren Extremitäten beidseits (ICD-10: M 54.5) mit vielen vegetativen Begleitbeschwerden leidet. Bei diesen, die Arbeitsfähigkeit einschränkenden Leiden handelt es sich um labile pathologische Geschehen, so dass ein allfälliger Rentenanspruch erst nach der gesetzlichen Wartezeit von einem Jahr entstehen kann, während welcher der im Ausland wohnhafte Beschwerdeführer ohne wesentlichen Unterbruch zu mindestens 50% (vgl. E. 5.5) arbeitsunfähig gewesen war (Art. 29 Abs. 1 Bst. b in der bis zum 31. Dezember 2007 gültig gewesenen Fassung).</w:t>
      </w:r>
    </w:p>
    <w:p>
      <w:r>
        <w:rPr>
          <w:b/>
        </w:rPr>
        <w:t>E. 6.2.1</w:t>
      </w:r>
    </w:p>
    <w:p>
      <w:r>
        <w:t>Gestützt auf die medizinischen Akten und insbesondere auf die Ergebnisse einer zwischen dem 21. und dem 23. Januar 2008 durch die MEDAS Ostschweiz durchgeführten pluridisziplinären Untersuchung (vgl. act. 78 IV) ist die Vorinstanz zum Schluss gelangt, dass die Arbeitsfähigkeit des Beschwerdeführers sowohl in der angestammten als auch in einer hinsichtlich von Pausen, der Arbeitsposition, dem Heben von Gewichten angepassten Tätigkeit auf 40% ab April 2005 zu bemessen sei.</w:t>
      </w:r>
    </w:p>
    <w:p>
      <w:r>
        <w:rPr>
          <w:b/>
        </w:rPr>
        <w:t>E. 6.2.2</w:t>
      </w:r>
    </w:p>
    <w:p>
      <w:r>
        <w:t>Das besagte MEDAS-Gutachten vom 27. Februar 2008 beantwortete die Frage nach der Arbeitsfähigkeit in der bisherigen und bei anderer Tätigkeit in der Tat wie folgt: "Unter Beachtung der aktuell festgestellten leichten bis mittelgradigen Episode mit somatischem Syndrom, einhergehend mit vielen vegetativen Begleitbeschwerden und einem chronifizierten Rückenschmerzsyndrom und unter Beachtung eines elektrophysiologisch feststellbaren sensomotorischen Karpaltunnelsyndroms beidseits, wenn auch leichten Grades, schätzen wir aufgrund der dadurch verminderten Leistungsfähigkeit bzw. rascheren Erschöpfbarkeit die Einschränkung der Arbeitsfähigkeit für körperlich leichte bis mittelschwere rückenadaptierte Tätigkeiten auf insgesamt 40%." Die MEDAS verfügte dabei über die IV-Vorakten mitsamt den ausländischen ärztlichen Berichten aus den Jahren 2001 und 2005 bis 2007. Sodann wurde der Beschwerdeführer im Rahmen der MEDAS-Gesamtuntersuchung am 23. Januar 2008 von Dr. med. S._______, Psychiater und Psychotherapeut untersucht, der dem Beschwerdeführer eine Arbeitsunfähigkeit von höchstens 30 bis 35% attestierte. Daneben wurden von der MEDAS weitere Untersuchungen durchgeführt (Status, Labor, Röntgen, Pact-Test, Ruhe-EKG, EMG/ENG).</w:t>
      </w:r>
    </w:p>
    <w:p>
      <w:r>
        <w:rPr>
          <w:b/>
        </w:rPr>
        <w:t>E. 6.2.3</w:t>
      </w:r>
    </w:p>
    <w:p>
      <w:r>
        <w:t>Demgegenüber waren ausländische Ärzte in den Jahren 2005 bis 2007 zum pauschalen Schluss gelangt, dass der Beschwerdeführer mehr als zu 2/3, wenn nicht vollständig arbeitsunfähig sei, ohne allerdings zwischen den bisherigen und zumutbaren Tätigkeiten zu unterscheiden oder den pauschalen Befund genauer zu begründen (vgl. Gesamtgutachten des kroatischen Versicherungsträgers vom 14. Juni 2005, act. 38 IV; mehrere ärztliche Beurteilungen des Neurologen Dr. med. M._______ der neurologischen Klinik in S._______, act. 45, 49, 51, 52, 59, 63 und 65 IV; ärztlicher Bericht vom 28. Juni 2006 von Dr. med. J._______, Facharzt für Rehabilitation, act. 54 IV; ärztliche Berichte vom 3. Oktober 2006 und vom 25. Januar 2007 der Familienärztin Dr. med. N._______, act. 47 und 60 IV).</w:t>
      </w:r>
    </w:p>
    <w:p>
      <w:r>
        <w:rPr>
          <w:b/>
        </w:rPr>
        <w:t>E. 6.3</w:t>
      </w:r>
    </w:p>
    <w:p>
      <w:r>
        <w:t>Vergleicht man die Diagnosen der ausländischen Ärzte aus den Jahren 2005 bis 2007 und diejenigen des polydisziplinären MEDAS-Gutachtens vom 27. Februar 2008, so ist augenfällig, dass im letztgenannten sowohl die psychische Leidenskomponente mit wesentlichem Einfluss auf die Arbeitsfähigkeit (Depression mit somatischem Syndrom, chronifiziertes Schmerzsyndrom) als auch die physischen Nacken- und Rückenleiden mit vielen vegetativen Begleitbeschwerden, die ebenfalls die Arbeitsfähigkeit einschränken, allesamt berücksichtigt und eingehend abgeklärt worden sind. Der Beschwerdeführer wurde auch in kardiologischer Hinsicht untersucht. Die von der Vorinstanz mehrfach zugezogene IV-Ärztin hat sich ebenso eingehend und wiederholt mit den erwähnten diagnostizierten, für die Arbeitsfähigkeit relevanten Leiden befasst, die ausländischen ärztlichen Berichte geprüft und mit den Schlussfolgerungen des MEDAS-Gutachtens verglichen. Insbesondere konnten weder das Vorliegen einer schweren Depression - unter anderem mangels psychiatrischer Hospitalisation und entsprechender medikamentöser Behandlung - noch eine kardiale Erkrankung von der MEDAS bestätigt werden (vgl. Berichte vom 16. Februar 2007, 14. August 2007, 2. April 2008, 31. Dezember 2008, 3. August 2009 und 13. November 2009, act. 56, 71, 80, 87, 90, 92 IV).</w:t>
      </w:r>
    </w:p>
    <w:p>
      <w:r>
        <w:rPr>
          <w:b/>
        </w:rPr>
        <w:t>E. 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7.2</w:t>
      </w:r>
    </w:p>
    <w:p>
      <w:r>
        <w:t>Erforderlich ist im Sozialversicherungsrecht grundsätzlich auch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Zürich 2003, Art. 43 Rz. 23; THOMAS LOCHER, Grundriss des Sozialversicherungsrechts, Bern 2003, § 68, Rz. 43 ff).</w:t>
      </w:r>
    </w:p>
    <w:p>
      <w:r>
        <w:rPr>
          <w:b/>
        </w:rPr>
        <w:t>E. 7.3</w:t>
      </w:r>
    </w:p>
    <w:p>
      <w:r>
        <w:t>Im vorliegenden Fall sind für das Gericht die Folgerungen des polydisziplinären MEDAS-Gutachtens vom 27. Februar 2008, auf welches sich die Vorinstanz im Wesentlichen stützt, überzeugend und schlüssig. Das Gutachten ist ohne Zweifel umfassend, beruht auf breite Untersuchungen, ist in Kenntnis der Vorakten abgegeben worden, leuchtet ein und ist gut begründet, insbesondere hinsichtlich der nach schweizerischen Grundsätzen der Invalidenversicherung zu beurteilenden Rest-Arbeitsfähigkeit, die nicht nach ausländischen Massstäben zu messen ist (vgl. ZAK 1989 S. 320 E. 2). Dazu sind die Berichte der Hausärztin Dr. med. N._______ und der behandelnden Spezialärzte Dr. med. M._______ und Dr. med. J._______ entsprechend der zitierten Rechtsprechung mit Vorbehalt zu würdigen. So kann vorliegend davon ausgegangen werden, dass die Arbeitsfähigkeit des Beschwerdeführers sowohl in der bis 1998 ausgeübten Tätigkeit als auch in leichteren Verweisungstätigkeiten medizinisch gesehen zu 40% eingeschränkt ist.</w:t>
      </w:r>
    </w:p>
    <w:p>
      <w:r>
        <w:rPr>
          <w:b/>
        </w:rPr>
        <w:t>E. 7.4</w:t>
      </w:r>
    </w:p>
    <w:p>
      <w:r>
        <w:t>Mit der Bestimmung der Arbeitsfähigkeit ist aber grundsätzlich noch nichts über den massgebenden Invaliditätsgrad gesagt. Da die Vorinstanz keinen Einkommensvergleich durchführen liess, um diesen Invaliditätsgrad zu ermitteln, könnte das Gericht die Sache an die Vorinstanz zurückweisen. Aus Gründen der Prozessökonomie und aufgrund der Konstellation des vorliegenden Falles und der Aktenlage kann das Gericht den Invaliditätsgrad jedoch ausnahmsweise selbst wie folgt ermitteln:</w:t>
      </w:r>
    </w:p>
    <w:p>
      <w:r>
        <w:rPr>
          <w:b/>
        </w:rPr>
        <w:t>E. 7.4.1</w:t>
      </w:r>
    </w:p>
    <w:p>
      <w:r>
        <w:t>Mangels tatsächlich erzielten Verdienstes vor und nach Eintritt der gesundheitlichen Beeinträchtigung müssen die Tabellenlöhne der LSE des Bundesamtes für Statistik herangezogen werden. Da die Einschränkung der Arbeitsfähigkeit sowohl bei der bis 1998 ausgeübten Tätigkeit (Produktionsmitarbeiter in einer Lebensmittelfirma) als auch bei einer Verweisungstätigkeit (Hilfsarbeiter, Aufseher, kleine Lieferungen mit Fahrzeug, Verkauf auf dem Korrespondenzweg, Verkäufer, Datenerfassung u.a.) dieselbe ist, nämlich 40%, sind Validen- und Invalideneinkommen vom selben Tabellenlohn zu berechnen - welchen man auch immer zu Grunde nimmt - und entspricht der Invaliditätsgrad in dieser besonderen Konstellation dem Grad der Arbeitsunfähigkeit, allerdings unter Berücksichtigung des Abzuges vom Tabellenlohn gemäss BGE 126 V 75. Beim Invalideneinkommen ist also in Form eines entsprechenden Abzugs der Tatsache Rechnung zu tragen, dass persönliche und berufliche Merkmale wie Art und Ausmass der Behinderung, Lebensalter, Dienstjahre, Nationalität und Beschäftigungsgrad Auswirkungen auf die Lohnhöhe haben können (BGE 124 V 321) und die verbliebene Arbeitsfähigkeit auch auf einem ausgeglichenen Arbeitsmarkt nur mit unterdurchschnittlichem erwerblichen Erfolg verwerten kann. Dabei ist der Abzug nach Würdigung der Umstände im Einzelfall nach pflichtgemässem Ermessen gesamthaft zu schätzen (Urteil des Bundesgerichts 9C_100/2010 vom 23. März 2010, E. 2.3.2).</w:t>
      </w:r>
    </w:p>
    <w:p>
      <w:r>
        <w:rPr>
          <w:b/>
        </w:rPr>
        <w:t>E. 7.4.2</w:t>
      </w:r>
    </w:p>
    <w:p>
      <w:r>
        <w:t>Angesichts insbesondere des Lebensalters (der Beschwerdeführer hat Jahrgang 1951) kann der Abzug vom Tabellenlohn (der bei kumulierten Umständen 25% nicht übersteigen darf, vgl. Urteil des Bundesgerichts 9C_708/2009 vom 19. November 2009 E. 2.1.1) auf 10% veranschlagt werden, zumal die Vorinstanz die verminderte Leistungsfähigkeit beim Beschäftigungsgrad bereits berücksichtigt hat. Damit beträgt der Invaliditätsgrad - unabhängig des herangezogenen Tabellenlohnes - vorliegend nicht mehr als 46% ([1-06 x 0,9] x 100%) und erreicht den vom Gesetz für das Ausland (ausserhalb der EU, vgl. E. 5.5) erforderlichen, rentenrelevanten Grad von 50% nicht. Daraus folgt, dass die Beschwerde vollumfänglich abzuweisen ist. Sollte sich der Gesundheitszustand des Beschwerdeführers nach dem 30. Januar 2009 verschlechtert haben, ist es ihm unbenommen, ein neues Rentengesuch zu stellen.</w:t>
      </w:r>
    </w:p>
    <w:p>
      <w:r>
        <w:rPr>
          <w:b/>
        </w:rPr>
        <w:t>E. 8.1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vorliegend mit dem einbezahlten Kostenvorschuss verrechnet.</w:t>
      </w:r>
    </w:p>
    <w:p>
      <w:r>
        <w:rPr>
          <w:b/>
        </w:rPr>
        <w:t>E. 8.2</w:t>
      </w:r>
    </w:p>
    <w:p>
      <w:r>
        <w:t>Entsprechend dem Ausgang des Verfahrens ist dem Beschwerdeführer keine Parteientschädigung zuzusprechen (Art. 64 Abs. 1 VwVG a contrario und Art. 7 Abs. 3 VGKE). Der obsiegenden Vorinstanz steht praxisgemäss - Ausnahme vorbehalten (BGE 127 V 205) -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