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C-1380/2009 vom 24. August 2010</w:t>
      </w:r>
    </w:p>
    <w:p>
      <w:r>
        <w:t>Bundesverwaltungsgericht, 2010-08-24, FR</w:t>
      </w:r>
    </w:p>
    <w:p>
      <w:r>
        <w:rPr>
          <w:b/>
        </w:rPr>
        <w:t xml:space="preserve">Quelle: </w:t>
      </w:r>
      <w:r>
        <w:t>https://mcp.opencaselaw.ch/entscheid/bvger_C-1380_2009</w:t>
      </w:r>
    </w:p>
    <w:p>
      <w:r>
        <w:t>FR: TAF C-1380/2009 du 24 août 2010</w:t>
      </w:r>
    </w:p>
    <w:p>
      <w:r>
        <w:t>IT: TAF C-1380/2009 del 24 agosto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Le recourant a présenté sa deuxième demande de rente le 18 octobre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toutefois se limiter à examiner si le recourant avait droit à une rente depuis le 18 avril 2007, date de la décision de rejet entrée en force de la première demande de rente, ou si le droit à une rente était né entre cette date et le 14 janvier 2009,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comme ouvrier dans le bâtiment de nombreuses années avant son retour en Espagne en 1989. De retour dans son pays il a exercé une activité dans la construction de maçon jusqu'au 9 août 2005, date à partir de laquelle il a été au chômage.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notamment d'atteintes pluri-étagées au rachis et aux coiffes des rotateurs qui le limitent dans les activités sollicitant le dos et les épaules et d'un début de coxarthrose depuis notamment novembre 2007 de façon attestée.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w:t>
      </w:r>
    </w:p>
    <w:p>
      <w:r>
        <w:t>En l'espèce il y a lieu de relever que dans le cadre des deux demandes de prestations de l'assurance-invalidité déposées respectivement en janvier 2006 et en février 2008 le service médical de l'INSS dans ses rapports E 213 des 20 février 2006 et 30 janvier 2008 retint à chaque fois une pleine capacité de travail dans l'activité exercée de maçon malgré les atteintes à la santé retenues dans ces rapports. Pour sa part le médecin de l'OAIE dans le cadre de la deuxième demande de rente retint une incapacité de travail de 70% dans l'activité de maçon à compter du rapport d'échographie du 27 novembre 2007 faisant état d'une tendinite au niveau des coiffes des rotateurs, considérant par ailleurs l'incidence des autres atteintes notamment du rachis et le début de coxarthrose à la jambe gauche. En revanche, selon le médecin de l'OAIE, une activité de substitution légère serait encore exigible à plein temps. Le recourant ne se plaint pas de limitations au niveau des membres supérieurs. En outre, ni l'obésité, ni le diabète de type II non insulinodépendant ne sauraient constituer un empêchement dans l'exercice d'une activité légère. On relèvera par ailleurs que si les rapports médicaux du Dr B._______ font état d'une longue suite d'atteintes à la santé, celles-ci ne sont pas étayées par des examens objectifs. Ce médecin ne retient pas non plus d'incapacité dans une activité légère. Le recourant n'a pas non plus produit de certificat attestant une incapacité de travail. Rien au dossier ne permet de mettre en doute l'appréciation du service médical de l'OAIE selon lequel l'intéressé peut exercer à 100% une activité légère adaptée principalement en position assise avec positions alternées possibles sans port de poids de plus de 5kg à l'abri du froid et de l'humidité. Une aggravation par rapport à la décision du 18 avril 2007 rejetant la première demande de rente n'est pas prouvée. Le Tribunal de céans peut donc confirmer le bien-fondé d'une pleine capacité de travail dans une activité légère adaptée telles celles proposées par le Dr C._______.</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11.1</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11.2</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12.1</w:t>
      </w:r>
    </w:p>
    <w:p>
      <w:r>
        <w:t>En l'espèce il y a lieu de procéder à une évaluation de l'invalidité selon la méthode générale par une comparaison de revenus sur la base de l'Enquête suisse sur la structure des salaires 2006 indexés 2007 car il doit être admis que c'est à compter de novembre 2007 que l'état de santé du recourant doit être considéré comme stabilisé, celui-ci n'ayant pas évolué de façon déterminante depuis cette année jusqu'au 14 janvier 2009, date de la décision attaquée.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12.2</w:t>
      </w:r>
    </w:p>
    <w:p>
      <w:r>
        <w:t>L'OAIE a retenu comme base de comparaison sans invalidité le revenu d'un ouvrier spécialisé dans la construction. Selon l'Enquête suisse sur les salaires 2006, table TA1, niveau 3, il en résulte un salaire mensuel de Fr. 5'422.- pour 40 h./sem. et de Fr. 5'652.44 pour 41.7 h./sem. selon le temps de travail hebdomadaire dans ce secteur.</w:t>
      </w:r>
    </w:p>
    <w:p>
      <w:r>
        <w:rPr>
          <w:b/>
        </w:rPr>
        <w:t>E. 12.3</w:t>
      </w:r>
    </w:p>
    <w:p>
      <w:r>
        <w:t>Le salaire après invalidité doit également être fixé sur la base des données statistiques résultant de l'Enquête suisse sur les salaires 2006 (table TA1), en l'occurrence celles des activités de substitution proposées par le Dr C._______ soit en moyenne Fr. 4'449.25 correspondant aux revenus dans les services collectifs et personnels (Fr. 4'259.-), le commerce de gros et les intermédiaires de commerce (Fr. 4'792.-), le commerce de détails et la réparation d'articles domestiques (Fr. 4'383.-), les services informatiques et les services fournis aux entreprises (Fr. 4'563.-) pour des activités simples et répétitives (niveau 4) à 100% pour 40 h./sem., et s'élevant à Fr. 4'690.47 pour 41.7 h./sem., sous déduction de 20% pour tenir compte de l'âge de l'assuré, né en 1950, et de ses restrictions personnelles aux activités légères, soit Fr. 3'752.37.-. Un nombre suffisant d'entre elles peuvent être exercées sans efforts moyennement importants en position assise ou autorisant le changement de position, sans port de charges de plus de 5 kg, en un lieu tempéré non humide, de sorte que ces activités sont adaptées au handicap du recourant. De plus, la majeure partie de ces postes ne nécessite pas de formation particulière autre qu'une mise au courant initiale.</w:t>
      </w:r>
    </w:p>
    <w:p>
      <w:r>
        <w:rPr>
          <w:b/>
        </w:rPr>
        <w:t>E. 12.4</w:t>
      </w:r>
    </w:p>
    <w:p>
      <w:r>
        <w:t>En comparant le salaire avant invalidité de Fr. 5'652.44 avec celui après invalidité de Fr. 3'752.37, on obtient une perte de gain de 33.62% arrondie à 34% ([5'652.44 - 3'752.37] : 5'652.44 x 100). Même indexés valeur 2007 pour la comparaison déterminante, puis indexés 2009, années de la décision dont est recours, les revenus de référence précités et leur comparaison ne permettent pas d'atteindre un taux d'invalidité de 40% au moins du fait de différences de pourcentages d'indexation trop fables entre les différents secteurs précités (indexés 2009 les revenus comparés donnent lieu à une perte de gain de 33.73% compte tenu d'indexations de 2007 à 2009 de 1.7%, 2% et 2% dans le secteur de la construction et de 1.5%, 2.22% et 1.8% en moyenne dans les secteurs des activités de substitution). Il appert de ce qui précède que le recours doit être rejeté et la décision attaquée confirmée.</w:t>
      </w:r>
    </w:p>
    <w:p>
      <w:r>
        <w:rPr>
          <w:b/>
        </w:rPr>
        <w:t>E. 13</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14.1</w:t>
      </w:r>
    </w:p>
    <w:p>
      <w:r>
        <w:t>Le recours étant manifestement infondé (voir en particulier les consid. 10 et 12), la cause peut être traitée par le juge unique (art. 85 al. 3 de la loi fédérale du 20 décembre 1946 sur l'assurance-vieillesse et survivants [LAVS, RS 831.10] applicable par le renvoi de l'art. 69 al. 2 LAI).</w:t>
      </w:r>
    </w:p>
    <w:p>
      <w:r>
        <w:rPr>
          <w:b/>
        </w:rPr>
        <w:t>E. 14.2</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14.3</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