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C-1379/2015 vom 16. April 2018</w:t>
      </w:r>
    </w:p>
    <w:p>
      <w:r>
        <w:t>Bundesverwaltungsgericht, 2018-04-16, FR</w:t>
      </w:r>
    </w:p>
    <w:p>
      <w:r>
        <w:rPr>
          <w:b/>
        </w:rPr>
        <w:t xml:space="preserve">Quelle: </w:t>
      </w:r>
      <w:r>
        <w:t>https://mcp.opencaselaw.ch/entscheid/bvger_C-1379_2015</w:t>
      </w:r>
    </w:p>
    <w:p>
      <w:r>
        <w:t>FR: TAF C-1379/2015 du 16 avril 2018</w:t>
      </w:r>
    </w:p>
    <w:p>
      <w:r>
        <w:t>IT: TAF C-1379/2015 del 16 aprile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versée, le recours est recevable.</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la recourante est ressortissante française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(art. 80a LAI).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notamment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TF 9C_573/2012 du 16 janvier 2013 consid. 4).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 Cela étant, la documentation médicale et administrative fournie par les institutions de sécurité sociale d'un autre Etat membre doit être prise en considération (art. 49 al. 2 du règlement 987/2009).</w:t>
      </w:r>
    </w:p>
    <w:p>
      <w:r>
        <w:rPr>
          <w:b/>
        </w:rPr>
        <w:t>E. 4.1</w:t>
      </w:r>
    </w:p>
    <w:p>
      <w:r>
        <w:t>Selon l'art. 87 al. 2 et 3 (version en vigueur depuis le 1er janvier 2012)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w:t>
      </w:r>
    </w:p>
    <w:p>
      <w:r>
        <w:rPr>
          <w:b/>
        </w:rPr>
        <w:t>E. 4.2</w:t>
      </w:r>
    </w:p>
    <w:p>
      <w:r>
        <w:t>L'art. 87 al. 2 et 3 RAI s'applique également à l'examen d'une nouvelle demande si une première demande de rente a donné lieu à une décision ayant accordé rétroactivement à un assuré une rente limitée dans le temps (ATF 133 V 263 en référence à l'art. 87 al. 3 et 4 RAI [version en vigueur depuis le 1er mars 2004]). En tant que telle cette décision a procédé d'une décision de constatation d'un droit à la rente pour une période déterminée suivie par la constatation en application par analogie des règles de la révision qu'à une date donnée subséquente les conditions de l'octroi d'une rente n'étaient plus remplies. Ainsi une nouvelle demande déposée après l'allocation d'une rente temporaire octroyée rétroactivement doit satisfaire aux conditions de l'art. 87 al. 2 et 3 RAI. Dans l'ATF 133 V 263 consid. 6 le Tribunal fédéral a précisé que le regeste de l'ATF 125 V 410, selon lequel la jurisprudence relative à l'art. 87 al. 3 et 4 RAI (version depuis le 1er mars 2004) n'est pas applicable lorsqu'une prestation a été précédemment allouée, mais pour une durée limitée, et indiquant que cette jurisprudence concerne toujours des cas dans lesquels des prestations ont été refusées par le passé, était trop succinctement résumée et ne pouvait en la forme être maintenue (cf. ATF 133 V 263 consid. 6.2 ; contra Michel Valterio, Droit de l'assurance-vieillesse et survivants [AVS] et de l'assurance-invalidité [AI], 2011, n° 3097 se référant à l'ATF 125 cité).</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par contre pas à faire lorsque l'administration est entrée en matière sur la nouvelle demande (ATF 109 V 108 consid. 2b; arrêt du TF 9C_789/2012 du 27 juillet 2013 consid. 2.2).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en lien avec l'al. 2 RAI, il convient d'examiner, par analogie avec l'art. 17 al. 1 LPGA relatif à la révision du droit à la rente (ATF 130 V 71 consid. 3.2; arrêt du TF 9C_246/2013 du 20 septembre 2013 consid. 2.2), si entre la précédente décision entrée en force et la décision litigieuse, un changement important des circonstances propre à influencer le degré d'invalidité, et donc le droit à la rente, s'est produit (cf. ATF 133 V 108, ATF 130 V 71).</w:t>
      </w:r>
    </w:p>
    <w:p>
      <w:r>
        <w:rPr>
          <w:b/>
        </w:rPr>
        <w:t>E. 4.5</w:t>
      </w:r>
    </w:p>
    <w:p>
      <w:r>
        <w:t>En l'espèce, l'administration est entrée en matière sur la nouvelle demande. Le Tribunal doit dès lors examiner en se référant à la dernière décision entrée en force s'étant prononcée matériellement sur le droit de l'assurée à une rente limitée dans le temps si la recourante remplit nouvellement les conditions d'octroi d'une rente depuis le 1er juillet 2013 (art. 29 al. 1 LAI, cf. la demande déposée le 27 janvier 2013 [pce AI 42]) jusqu'au 22 janvier 2015, date de la décision attaquée marquant la limite dans le temps du pouvoir d'examen de l'autorité de recours (ATF 129 V 1 consid. 1.2 et les réf.).</w:t>
      </w:r>
    </w:p>
    <w:p>
      <w:r>
        <w:rPr>
          <w:b/>
        </w:rPr>
        <w:t>E. 5</w:t>
      </w:r>
    </w:p>
    <w:p>
      <w:r>
        <w:t>L'objet du présent litige est le bien-fondé du rejet d'une rente d'invalidité par l'OAIE au motif que, si une rente entière d'invalidité avait été octroyée du 1er octobre 2001 au 30 avril 2002, il n'y avait plus de motifs à poursuivre le droit aux prestations, en l'occurrence que l'intéressée, après examen de sa demande du 27 janvier 2013, ne présentait pas une incapacité de travail moyenne suffisante, pendant une année de 40% au moins, l'exercice d'une activité lucrative étant toujours exigible dans une mesure suffisante pour exclure le droit à une rente.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Valterio, op. cit., n° 2060 ss).</w:t>
      </w:r>
    </w:p>
    <w:p>
      <w:r>
        <w:rPr>
          <w:b/>
        </w:rPr>
        <w:t>E. 6.2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6.3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 En l'occurrence le droit à une nouvelle rente d'invalidité s'ouvrirait in casu au plus tôt au 1er juillet 2013 vu le dépôt de la nouvelle demande le 27 janvier 2013.</w:t>
      </w:r>
    </w:p>
    <w:p>
      <w:r>
        <w:rPr>
          <w:b/>
        </w:rPr>
        <w:t>E. 7.1</w:t>
      </w:r>
    </w:p>
    <w:p>
      <w:r>
        <w:t>Dans le cadre de cette nouvelle demande de prestations il convient d'examiner, comme il l'a été énoncé au consid. 4.4, par analogie avec l'art. 17 al. 1 LPGA relatif à la révision du droit à la rente (ATF 130 V 71 consid. 3.2; arrêt du TF 9C_246/2013 du 20 septembre 2013 consid. 2.2), si entre la décision du 26 juillet 2004 de prestations rétroactives de durée limitée entrée en force et la décision litigieuse du 22 janvier 2015, un changement important des circonstances propre à influencer le degré d'invalidité, et donc le droit à la rente, s'est produit (ATF 133 V 108, ATF 130 V 71).</w:t>
      </w:r>
    </w:p>
    <w:p>
      <w:r>
        <w:rPr>
          <w:b/>
        </w:rPr>
        <w:t>E. 7.2</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In casu l'examen doit se faire dans le cadre de l'examen d'un nouveau droit à la rente. Une simple appréciation différente d'un état de fait qui, pour l'essentiel, est demeuré inchangé, n'appelle en revanche pas à une révision au sens de l'art. 17 LPGA (arrêts du TF I 532/05 du 13 juillet 2006 consid. 3; I 561/05 du 31 mars 2006 consid. 3.3; ATF 112 V 371 consid. 2b).</w:t>
      </w:r>
    </w:p>
    <w:p>
      <w:r>
        <w:rPr>
          <w:b/>
        </w:rPr>
        <w:t>E. 7.3</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 In casu la décision du 26 juillet 2004 est déterminante.</w:t>
      </w:r>
    </w:p>
    <w:p>
      <w:r>
        <w:rPr>
          <w:b/>
        </w:rPr>
        <w:t>E. 8.1</w:t>
      </w:r>
    </w:p>
    <w:p>
      <w:r>
        <w:t>La recourante a travaillé en dernier lieu en Suisse comme vendeuse. Suite à son accident du travail du 4 octobre 2000 elle perçut des indemnités journalières puis fut reconnue au bénéfice d'une rente d'invalidité suisse entière du 1er octobre 2001 au 30 avril 2002. Il appert du dossier qu'elle n'a plus repris d'activité lucrative par la suite ayant été au chômage en France de 2002 à 2006 et en situation de maladie à compter de 2007 puis dès 2010 de travailleur handicapé. Fin 2012 elle a terminé une formation de secrétaire assistante de 15 mois. Elle fut reconnue invalide à plus de 66 2/3 % à compter du 27 janvier 2013 selon la sécurité sociale française.</w:t>
      </w:r>
    </w:p>
    <w:p>
      <w:r>
        <w:rPr>
          <w:b/>
        </w:rPr>
        <w:t>E. 8.2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8.3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9.1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9.2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9.4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w:t>
      </w:r>
    </w:p>
    <w:p>
      <w:r>
        <w:rPr>
          <w:b/>
        </w:rPr>
        <w:t>E. 9.4.1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w:t>
      </w:r>
    </w:p>
    <w:p>
      <w:r>
        <w:rPr>
          <w:b/>
        </w:rPr>
        <w:t>E. 9.4.2</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9.4.3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9.5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10.1</w:t>
      </w:r>
    </w:p>
    <w:p>
      <w:r>
        <w:t>En l'espèce l'OAIE a rejeté la demande de prestation de l'intéressée en se fondant principalement sur les rapports médicaux du Dr J._______, expert certifié SIM, sans spécialisation indiquée, du SMR Rhône, lequel s'est prononcé en matière rhumatologique et en matière psychiatrique sans avoir requis d'avis de confrères en se référant principalement au dossier médical de l'intéressée à la base de la rente entière AI qui lui avait été allouée du 1er octobre 2001 au 30 avril 2002 confronté aux rapports médicaux des années 2013 à 2015 peu denses des Drs H._______, généraliste, et L._______, praticien hospitalier psychiatre, au rapport E 213 du 25 juillet 2013 du Dr I._______ et en dernier lieu au rapport IRM du rachis lombaire du Dr K._______ du 8 juillet 2014. L'OAIE, respectivement le Dr J._______, n'ont pas requis expressément des Drs H._______ et L._______, médecins traitants de l'assurée, un rapport médical standard à remplir usuellement adressé aux médecins traitants. Compte tenu du peu d'informations établies par ces médecins traitant l'intéressée depuis de nombreuses années, il était du devoir d'instruction de l'OAIE, respectivement du Dr J._______, conformément à l'art. 43 LPGA, de requérir de leur part des rapports plus détaillés que ceux fournis, soit les informations dont l'AI avait manifestement besoin pour remplir sa tâche d'établir les faits à la base de la décision d'octroi ou de rejet de rente ensuite de la demande déposée le 27 janvier 2013 plus de 10 ans après la fin de l'octroi de prestations AI résultant d'une première demande dont les actes n'avaient qu'une valeur historique anamnestique. La loi attribue en effet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AI compétent ratione loci, en l'occurrence l'OAIE. Si le médecin SMR d'un office AI se rend compte ne disposer que de trop peu d'éléments pour se déterminer sur la base de la documentation médicale qui lui est remise il ne doit pas rendre un rapport final sur la base du dossier, comme en l'espèce en date du 1er mai 2014 (pce AI 92), mais expressément requérir auprès de l'office AI la documentation médicale qui fait défaut au dossier, procéder à une instruction complémentaire (arrêt du TF 9C_58/2011 cité consid. 3.3) ou requérir la détermination d'un expert selon les modalités de l'art. 44 LPGA.</w:t>
      </w:r>
    </w:p>
    <w:p>
      <w:r>
        <w:rPr>
          <w:b/>
        </w:rPr>
        <w:t>E. 10.2</w:t>
      </w:r>
    </w:p>
    <w:p>
      <w:r>
        <w:t>Il appert du dossier que l'intéressée souffre, entre autres atteintes, d'un problème d'alcoolisme. Selon la jurisprudence constante concernant les dépendances similaires que sont l'alcoolisme, la pharmacodépendance et la toxicomanie, une telle dépendance ne constitue pas en soi une invalidité au sens de la loi. En revanche, comme l'a relevé le Dr J._______,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 pour des exemples, cf. arrêt du TF I 360/06 du 6 septembre 2006 consid. 2.1). Pour évaluer si cette condition est réalisée, la situation de fait doit faire l'objet d'une appréciation globale incluant aussi bien les causes que les conséquences de la dépendance, ce qui implique de tenir compte d'une éventuelle interaction entre dépendance et comorbidité psychiatrique (arrêt du TF 9C_960/2009 du 24 février 2010 consid. 2.2). Sous l'angle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arrêts du TF I 169/06 du 8 août 2006 consid. 2.2 et les arrêts cités; 9C_395/2007 du 15 avril 2008 consid. 2.2 ; 9C_960/2009 loc. cit. ; Valterio, op. cit., n° 1195 ; pour des exemples, cf. arrêt du TF I 360/06 du 6 septembre 2006 consid. 2.1). En l'espèce le Dr J._______ a indiqué que le problème d'alcoolisme de l'intéressée était de type primaire (secondaire selon le Dr E._______) et donc non incapacitant au sens de l'AI. Or, à part le fait que figure au dossier que l'intéressée a été confrontée à cette addiction à de nombreuses reprises et a même été hospitalisée, il ne figure pas au dossier de rapport au sujet de l'alcoolisme de l'intéressée permettant d'apprécier la nature de cette atteinte et ses liens avec d'éventuelles autres atteintes. Certes les Drs H._______ et L._______ ne développent pas cette atteinte dans leurs rapports respectifs mais il y a lieu de relever que l'intéressée a été traitée et hospitalisée pour cette atteinte et qu'il n'est pas exclu que celle-ci puisse selon les critères-mêmes de l'AI avoir une incidence sur l'évaluation de la capacité de travail de l'intéressée. En d'autres termes un rapport médical au moins à ce sujet doit figurer au dossier de l'intéressée.</w:t>
      </w:r>
    </w:p>
    <w:p>
      <w:r>
        <w:rPr>
          <w:b/>
        </w:rPr>
        <w:t>E. 10.3</w:t>
      </w:r>
    </w:p>
    <w:p>
      <w:r>
        <w:t>Comme il l'a été dit les rapports médicaux des médecins SMR ne posent pas de nouvelles conclusions médicales mais portent une appréciation sur celles déjà existantes (arrêts du TF 9C_581/2007 du 14 juillet 2008 consid. 3.2 et 9C_341/2007 du 17 novembre 2007 consid. 4.1).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En l'espèce il n'apparait pas des pièces au dossier un état de fait non contesté établi de manière concordante par les médecins.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En l'espèce il ne saurait être retenu au vu du dossier un état de santé de l'intéressée lui permettant d'exercer sans nulle doute son ancienne activité de vendeuse à 75% au moins comme cela avait pu être retenu à compter du 1er mai 2002 selon la décision attaquée et comme le Dr J._______ l'a encore estimé en date du 30 juin 2015 à la suite du recours interjeté. Ce médecin releva qu'une expertise complémentaire n'était pas nécessaire car la situation psychiatrique était claire, l'atteinte psychiatrique n'étant pas incapacitante dans le sens de l'AI comme cela résultait selon ce médecin de l'expertise psychiatrique de 2003. Or cette expertise remonte à quelque 12 ans au moment où la décision dont est recours a été prise et ne saurait dès lors être invoquée pour fonder une décision rendue en 2015.</w:t>
      </w:r>
    </w:p>
    <w:p>
      <w:r>
        <w:rPr>
          <w:b/>
        </w:rPr>
        <w:t>E. 10.4</w:t>
      </w:r>
    </w:p>
    <w:p>
      <w:r>
        <w:t>Par ailleurs il appert du rapport du Dr J._______ du 1er mai 2014 que le rapport E 213 du Dr I._______ n'a été repris qu'en partie. L'appréciation du Dr I._______ quant à la capacité de travail de l'intéressée a été totalement ignorée de sorte que le lecteur du rapport du Dr J._______, dont l'Office AI, n'a que son appréciation personnelle du dossier qui au final se résume à relever que les atteintes de l'intéressée sont les mêmes que celles existantes en 2002 pour la première demande de prestations et qu'une incapacité de travail de longue durée pour ces anciennes atteintes n'est pas justifiée, passant sous silence que l'intéressée a été mise au bénéfice en France d'une rente d'invalidité pour une incapacité de travail de plus de 66 2/3% remontant au 27 janvier 2013 et que le Dr I._______ n'a retenu aucune capacité de travail dans son rapport E 213. La date du 27 janvier 2013 correspond au mois où l'intéressée n'est plus inscrite comme demandeur d'emploi à Pôle emploi (cf. supra B.c ; pce AI 86 p. 11-14). Certes l'octroi par un organisme étranger d'une rente d'invalidité ne préjuge pas le droit d'un intéressé à une rente selon la législation suisse mais la documentation médicale et administrative fournie par les institutions de sécurité sociale d'un autre Etat membre doit être prise en considération (art. 49 al. 2 du règlement 987/2009). Ce qui implique d'en faire état, y compris cas échéant de discuter l'appréciation de la capacité de travail d'un assuré retenue par le médecin d'un rapport médical E 213, pour ensuite se déterminer, cas échéant différemment avec une motivation idoine, sur la capacité de travail résiduelle de l'intéressé.</w:t>
      </w:r>
    </w:p>
    <w:p>
      <w:r>
        <w:rPr>
          <w:b/>
        </w:rPr>
        <w:t>E. 10.5</w:t>
      </w:r>
    </w:p>
    <w:p>
      <w:r>
        <w:t>Pour les motifs évoqués supra la décision de l'OAIE de rejet de rente ne peut être confirmée faute de documents médicaux permettant d'établir les atteintes à la santé, leur degré de gravité et leur influence sur la capacité de travail et faute ainsi d'une instruction complète de la demande de prestations. Dans ce contexte, le Tribunal fédéral a précisé que lorsque l'administration devait se prononcer sur la capacité de travail d'un assuré, elle devait appuyer son évaluation sur des rapports médicaux concluants qui permettaient de confirmer que l'appréciation des preuves a été faite de manière globale et objective. Dans la mesure où de tels documents font défaut ou sont contradictoires, des investigations complémentaires s'avèrent indispensables, faute de quoi il y a lieu de conclure à une violation du principe inquisitoire (arrêts du TF 8C_672/2010 du 27 septembre 2010 consid. 1.3 et 9C_818/2010 du 5 novembre 2010 consid. 2.2 in fine).</w:t>
      </w:r>
    </w:p>
    <w:p>
      <w:r>
        <w:rPr>
          <w:b/>
        </w:rPr>
        <w:t>E. 10.6</w:t>
      </w:r>
    </w:p>
    <w:p>
      <w:r>
        <w:t>Il se justifie en conséquence d'annuler la décision entreprise et de renvoyer la cause à l'autorité inférieure pour complément d'instruction en application de l'art. 61 al. 1 PA et nouvelle décision, étant précisé que, dans ce cadre, la recourante pourra bénéficier des garanties de procédure introduites par l'ATF 137 V 210. Sur la base du dossier actuel l'autorité inférieure requerra des médecins traitant de l'intéressée des rapports complets actualisés de son état de santé avec l'évolution des atteintes notamment depuis 2012 et requerra des médecins traitants également une prise de position sur l'alcoolisme chronique dont souffre l'intéressée notamment depuis 2012. Vu qu'en 2003 une expertise bidisciplinaire a été effectuée il se justifie, vu l'applicabilité par analogie des règles de la révision (art. 17 LPGA), que l'OAIE ordonne en Suisse une expertise polydisciplinaire (rhumatismale, de médecine interne avec un volet lié à l'alcoolisme, psychiatrique) permettant d'établir l'état de santé actuel de l'intéressée, ses limitations fonctionnelles, sa capacité de travail résiduelle et indiquant également l'évolution de l'état de santé, des limitations fonctionnelles et de la capacité de travail résiduelle depuis les constatations faites dans le cadre de l'expertise de 2003. Dans le cadre de l'examen psychiatrique les experts devront déterminer la capacité de travail résiduelle sur la base des indicateurs standards permettant d'évaluer le caractère invalidant des affections psychiatriques selon la nouvelle jurisprudence du Tribunal fédéral selon laquelle, en règle générale, toutes les affections psychiques doivent faire l'objet d'une procédure probatoire structurée au sens de l'ATF 141 V 281 (ATF 143 V 118). Les expertises ordonnées doivent permettre de répondre à l'ensemble des questions qui se posent.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w:t>
      </w:r>
    </w:p>
    <w:p>
      <w:r>
        <w:rPr>
          <w:b/>
        </w:rPr>
        <w:t>E. 11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références) ou notamment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 2014 du 11 décembre 2014 consid. 3.2 et 3.3). Tel est le cas en l'occurrence, le dossier ne contenant pas de rapports médicaux complets sur l'état de santé de l'intéressé tant des médecins traitants que d'experts tiers dont les avis médicaux sont indispensables. Partant le recours du 25 février 2015 est partiellement admis, la décision de l'OAIE du 22 janvier 2015 annulée et la cause renvoyée à l'autorité inférieure pour complément d'instruction et nouvelle décision.</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 L'avance de frais de 400.- francs fournie par la recourante en cours de procédure lui est restituée.</w:t>
      </w:r>
    </w:p>
    <w:p>
      <w:r>
        <w:rPr>
          <w:b/>
        </w:rPr>
        <w:t>E. 13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la recourante a interjeté recours par un organisme de défense des intérêts de ses affiliés, lequel s'est limité en substance à des écritures de transfert de documents médicaux. A ce titre il se justifie de lui accorder une indemnité de dépens ex aequo et bono de 300.- francs non soumise à la TVA (art. 1er et 8 de la loi fédérale du 12 juin 2009 régissant la taxe sur la valeur ajoutée [RS 641.20 ; LTVA])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