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C-1378/2023 vom 12. Juni 2024</w:t>
      </w:r>
    </w:p>
    <w:p>
      <w:r>
        <w:t>Bundesverwaltungsgericht, 2024-06-12, IT</w:t>
      </w:r>
    </w:p>
    <w:p>
      <w:r>
        <w:rPr>
          <w:b/>
        </w:rPr>
        <w:t xml:space="preserve">Quelle: </w:t>
      </w:r>
      <w:r>
        <w:t>https://mcp.opencaselaw.ch/entscheid/bvger_C-1378_2023</w:t>
      </w:r>
    </w:p>
    <w:p>
      <w:r>
        <w:t>FR: TAF C-1378/2023 du 12 juin 2024</w:t>
      </w:r>
    </w:p>
    <w:p>
      <w:r>
        <w:t>IT: TAF C-1378/2023 del 12 giugno 2024</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C-1378/2023 Pagina 5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2.1</w:t>
      </w:r>
    </w:p>
    <w:p>
      <w:r>
        <w:t>Inoltre, giusta l’art. 49 lett. b PA, l’accertamento inesatto ed incompleto dei fatti giuridicamente rilevanti è un motivo di ricorso.</w:t>
      </w:r>
    </w:p>
    <w:p>
      <w:r>
        <w:rPr>
          <w:b/>
        </w:rPr>
        <w:t>E. 3.1</w:t>
      </w:r>
    </w:p>
    <w:p>
      <w:r>
        <w:t>Nel caso in esame, occorre esaminare se prima dell’emanazione della decisione impugnata, l’UAIE, rispettivamente l’Ufficio AI del Cantone C._______, competente ad istruire il caso giusta l’art. 40 cpv. 2 OAI, avrebbe dovuto procedere ad ulteriori misure istruttorie, segnatamente or- dinare ulteriori accertamenti specialistici in ambito medico, per potersi de- terminare con cognizione di causa ed il necessario grado della verosimi- glianza preponderante valido nel diritto delle assicurazioni sociali, sullo stato di salute e sull’evoluzione nel tempo della residua capacità lavorativa dell’insorgente.</w:t>
      </w:r>
    </w:p>
    <w:p>
      <w:r>
        <w:rPr>
          <w:b/>
        </w:rPr>
        <w:t>E. 3.2</w:t>
      </w:r>
    </w:p>
    <w:p>
      <w:r>
        <w:t>A tal proposito, va in particolare analizzato se la proposta dell’UAIE d’ammissione del ricorso con annullamento della decisione impugnata e rinvio della causa all’amministrazione affinché sia proceduto ad ulteriori ac- certamenti medici sia condivisibile (v. risposta del 21 dicembre 2023 [doc. TAF 17]).</w:t>
      </w:r>
    </w:p>
    <w:p>
      <w:r>
        <w:t>C-1378/2023 Pagina 6</w:t>
      </w:r>
    </w:p>
    <w:p>
      <w:r>
        <w:rPr>
          <w:b/>
        </w:rPr>
        <w:t>E. 3.3.1</w:t>
      </w:r>
    </w:p>
    <w:p>
      <w:r>
        <w:t>Per i motivi che saranno esposti di seguito, questo Tribunale condi- vide la proposta dell’UAIE, alla quale la ricorrente ha peraltro aderito, d’an- nullamento della decisione impugnata con rinvio degli atti di causa all’am- ministrazione affinché la stessa completi l’istruttoria con ulteriori accerta- menti medici, segnatamente tramite una perizia pluridisciplinare. L’autorità inferiore non ha infatti correttamente acclarato lo stato di salute dell’inte- ressata prima dell’emanazione della decisione qui impugnata.</w:t>
      </w:r>
    </w:p>
    <w:p>
      <w:r>
        <w:rPr>
          <w:b/>
        </w:rPr>
        <w:t>E. 3.3.2</w:t>
      </w:r>
    </w:p>
    <w:p>
      <w:r>
        <w:t>A tal proposito, si rileva come nella perizia internistica del 6 ottobre 2022, il dott. D._______, specialista in medicina generale intervenuto su incarico dell’UAI-C._______, ha posto la diagnosi con influsso sulla capa- cità lavorativa di gonalgia destra cronica con probabile lesione del menisco mediale e condropatia, evidenziando tuttavia che per tale patologia non era mai stata posta una diagnosi precisa. Egli ha dunque precisato di ritenere necessario, qualora fosse determinante ai fini di un’eventuale assegna- zione di una rendita, raccogliere un parere specialistico ortopedico in Sviz- zera, in modo da disporre di una diagnosi precisa e poter stabilire eventuali misure terapeutiche. Il perito ha inoltre posto le seguenti diagnosi senza influsso sulla capacità lavorativa: adipositas II (BMI 37.1) in stato dopo sleeve gastrectomy, diabete mellito 2, colecistolitiasi con stato dopo 3 coli- che biliari, sindrome delle apnee notturne, ipotireosi, asma bronchiale, so- spetta insufficienza mitralica, tabagismo, stato dopo ipertensione arteriosa 2012 - 2022. Sotto questo profilo, ha pure constatato che potrebbe sussi- stere una patologia valvolare e consigliato un controllo cardiologico. Con- siderate infine le varie patologie tipiche e l’aspetto della paziente, il medico ha altresì segnalato la possibile presenza di una sindrome delle ovaie po- licistiche. In conclusione, egli ha rilevato un decorso stazionario con un’ina- bilità lavorativa del 100% nella precedente attività di aiuto cucina, rispetti- vamente una capacità lavorativa in attività adeguate del 50% dal 1° marzo 2022 e del 75% dal 7 ottobre 2022. Per le mansioni domestiche ha invece attestato una limitazione del 30-35% a partire dal 7 maggio 2020 (doc. UAIE 82).</w:t>
      </w:r>
    </w:p>
    <w:p>
      <w:r>
        <w:rPr>
          <w:b/>
        </w:rPr>
        <w:t>E. 3.3.3</w:t>
      </w:r>
    </w:p>
    <w:p>
      <w:r>
        <w:t>Preso atto della perizia del dott. D._______, con rapporto finale del 18 ottobre 2022 (doc. UAIE 83) e annotazioni del 9 e 19 gennaio 2023 (doc. UAIE 99 e 107), il medico SMR si è limitato a confermare le diagnosi e i</w:t>
      </w:r>
    </w:p>
    <w:p>
      <w:r>
        <w:t>C-1378/2023 Pagina 7 periodi di incapacità lavorativa attestati dal perito, senza tuttavia far espe- rire gli ulteriori accertamenti consigliati da quest’ultimo e senza addurre una motivazione convincente e condivisibile sul motivo per cui tali accertamenti non sarebbero in concreto stati necessari.</w:t>
      </w:r>
    </w:p>
    <w:p>
      <w:r>
        <w:rPr>
          <w:b/>
        </w:rPr>
        <w:t>E. 3.3.4</w:t>
      </w:r>
    </w:p>
    <w:p>
      <w:r>
        <w:t>In sede ricorsuale, presa visione degli atti medici, il dott. E._______, specialista in psichiatria e psicoterapia del SMR, ha tuttavia ritenuto neces- sario procedere mediante una perizia pluridisciplinare di natura ortopedica, cardiologica, psichiatrica e internistica (cfr. annotazione SMR del 20 no- vembre 2023) e l’autorità inferiore ha pertanto essa stessa ritenuto indi- spensabile procedere con la menzionata perizia pluridisciplinare con lo scopo di rivalutare lo stato di salute dell’assicurata e le sue conseguenze sulla capacità lavorativa (cfr. doc. TAF 17).</w:t>
      </w:r>
    </w:p>
    <w:p>
      <w:r>
        <w:rPr>
          <w:b/>
        </w:rPr>
        <w:t>E. 3.3.5</w:t>
      </w:r>
    </w:p>
    <w:p>
      <w:r>
        <w:t>Alla luce di quanto precede, risulta che nel caso concreto, prima della pronuncia della decisione impugnata lo stato di salute della ricorrente non è stato sufficientemente acclarato tramite i necessari accertamenti specia- listici. Va pertanto accolta la proposta dell’autorità inferiore di rinvio degli atti all’amministrazione alfine di un più approfondito, e aggiornato accerta- mento dei fatti giuridicamente rilevanti dal profilo medico. Il completamento dell’istruttoria implica segnatamente una perizia pluridisciplinare in ambito ortopedico, cardiologico, psichiatrico ed internistico, riservati eventuali ul- teriori accertamenti che dovessero risultare necessari in considerazione dell’evoluzione nel tempo della stato di salute della ricorrente, con verifica dell’incidenza delle diverse patologie e del loro possibile effetto congiunto sulla residua capacità lavorativa dell’insorgente rispettivamente, a seconda dello statuto della ricorrente, il loro influsso nello svolgimento delle man- sioni domestiche.</w:t>
      </w:r>
    </w:p>
    <w:p>
      <w:r>
        <w:rPr>
          <w:b/>
        </w:rPr>
        <w:t>E. 4.1</w:t>
      </w:r>
    </w:p>
    <w:p>
      <w:r>
        <w:t>In caso di annullamento della decisione impugnata, il Tribunale amministrativo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4.2</w:t>
      </w:r>
    </w:p>
    <w:p>
      <w:r>
        <w:t>L’incarto va pertanto trasmesso all’autorità inferiore affinché completi l’accertamento dei fatti giuridicamente rilevanti. La ricorrente verrà in</w:t>
      </w:r>
    </w:p>
    <w:p>
      <w:r>
        <w:t>C-1378/2023 Pagina 8 particolare sottoposta ai menzionati accertamenti pluridisciplinari, riservato ogni ulteriore esame che l’evoluzione nel tempo del suo stato di salute do- vesse ancora rendere necessario. La perizia dovrà essere effettuata in Svizzera (cfr. sentenza del TAF C-4041/2021 del 2 marzo 2023 consid. 14.1 con rinvii). Incomberà peraltro all’UAIE di emettere una nuova deci- sione in tempi ragionevoli. Sulla base degli accertamenti ancora da espe- rire, l’amministrazione dovrà determinarsi sullo stato di salute della ricor- rente nel periodo determinante a partire da maggio 2020 e fino alla data della nuova decisione nonché sulla sua incidenza sulla residua capacità lavorativa, rispettivamente sulla capacità di svolgere le mansioni domesti- che.</w:t>
      </w:r>
    </w:p>
    <w:p>
      <w:r>
        <w:rPr>
          <w:b/>
        </w:rPr>
        <w:t>E. 4.3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della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 ambiti che non sono stati sufficiente- mente chiariti nella procedura di prima istanza, ma che lo avrebbero dovuto essere prima dell’emanazione della decisione litigiosa, gli elementi per do- vere agire in tal senso essendo già presenti agli atti di causa (DTF 137 V 210 consid. 4.4.1.4 [cfr., in particolare, il consid. 3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w:t>
      </w:r>
    </w:p>
    <w:p>
      <w:r>
        <w:t>C-1378/2023 Pagina 9 del 3 aprile 2008 consid. 2.3 con rinvii; cfr. pure sentenza del TAF C- 1621/2020 consid. 9.3).</w:t>
      </w:r>
    </w:p>
    <w:p>
      <w:r>
        <w:rPr>
          <w:b/>
        </w:rPr>
        <w:t>E. 4.4</w:t>
      </w:r>
    </w:p>
    <w:p>
      <w:r>
        <w:t>Per il resto, la ricorrente, resa edotta da questo Tribunale della possi- bilità che il rinvio degli atti di causa all'autorità inferiore per complemento dell’istruttoria e nuova decisione avrebbe anche potuto comportare la resa di un nuovo provvedimento da parte dell’amministrazione a suo detrimento e concessale pertanto la facoltà d’eventualmente ritirare il gravame (v. il provvedimento del Tribunale amministrativo federale del 5 marzo 2024 [doc. TAF 19]), ha comunicato a questo Tribunale di aderire alla proposta di rinvio degli atti all’UAIE (v. la presa di posizione del 21 marzo 2024 [doc. TAF 21]).</w:t>
      </w:r>
    </w:p>
    <w:p>
      <w:r>
        <w:rPr>
          <w:b/>
        </w:rPr>
        <w:t>E. 5.1</w:t>
      </w:r>
    </w:p>
    <w:p>
      <w:r>
        <w:t>Visto l'esito del ricorso, non sono prelevate delle spese processuali (art. 63 PA).</w:t>
      </w:r>
    </w:p>
    <w:p>
      <w:r>
        <w:rPr>
          <w:b/>
        </w:rPr>
        <w:t>E. 5.2.1</w:t>
      </w:r>
    </w:p>
    <w:p>
      <w:r>
        <w:t>Ritenuto che l'insorgente è rappresentata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w:t>
      </w:r>
    </w:p>
    <w:p>
      <w:r>
        <w:rPr>
          <w:b/>
        </w:rPr>
        <w:t>E. 5.2.2</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 TAF, le ripetibili comprendono, fra l'altro, le spese di patrocinio, ossia l'ono- rario dell'avvocato, ed i disborsi, quali, segnatamente, le spese di fotoco- piatura, le spese di porto e le spese telefoniche. L'art. 10 cpv. 1 e 2 TS-TAF precisa che l'onorario dell'avvocato è calcolato in funzione del tempo ne- cessario alla rappresentanza della parte; la tariffa oraria per gli avvocati oscilla tra un minimo di CHF 200.- ed un massimo di CHF 400.-.</w:t>
      </w:r>
    </w:p>
    <w:p>
      <w:r>
        <w:t>C-1378/2023 Pagina 10</w:t>
      </w:r>
    </w:p>
    <w:p>
      <w:r>
        <w:rPr>
          <w:b/>
        </w:rPr>
        <w:t>E. 5.2.3</w:t>
      </w:r>
    </w:p>
    <w:p>
      <w:r>
        <w:t>Nel caso concreto, con scritto del 21 marzo 2024, la ricorrente ha chiesto il riconoscimento di CHF 2'571.- a titolo di spese ripetibili. Secondo la parcella legale prodotta, CHF 2'292.- corrispondono all’onorario dell’av- vocato (12 ore e 44 minuti a CHF 180.-/h), mentre CHF 279.20 sono spese vive (e più precisamente CHF 50.- per l’apertura dell’incarto e CHF 229.20 [somma ridotta al 10% dell’onorario] di spese postali, copie originali e foto- copie [allegato al doc. TAF 21]).</w:t>
      </w:r>
    </w:p>
    <w:p>
      <w:r>
        <w:rPr>
          <w:b/>
        </w:rPr>
        <w:t>E. 5.2.4</w:t>
      </w:r>
    </w:p>
    <w:p>
      <w:r>
        <w:t>Per quanto concerne la nota d'onorario presentata possono senz'al- tro essere ammesse le posizioni che si riferiscono all’incontro e alle consu- lenze telefoniche con la cliente, così come il tempo occorso per l'allesti- mento di lettere alla cliente o nel suo interesse, per lo studio della causa e l'allestimento del ricorso. Nella concreta fattispecie si tratta dell’integralità delle prestazioni effettuate dal rappresentante legale nella fase ricorsuale, ossia dal 10 marzo 2023 al 21 marzo 2024. Per l’attività svolta a favore della propria cliente, si giustifica dunque il dispendio di tempo di 12 ore e 44 minuti alla tariffa minima di CHF 200.- l’ora (non potendo questo Tribu- nale scendere al di sotto di CHF 200.- all’ora prevista dalle norme legali), per un ammontare totale di CHF 2'546.65 ([ossia 12 h e 44 min] x CHF 200.-).</w:t>
      </w:r>
    </w:p>
    <w:p>
      <w:r>
        <w:rPr>
          <w:b/>
        </w:rPr>
        <w:t>E. 5.2.5</w:t>
      </w:r>
    </w:p>
    <w:p>
      <w:r>
        <w:t>Per quel che attiene alle spese, possono essere ritenuti CHF 50.- per la formazione dell’incarto, in quanto atto necessario alla preparazione della procedura di ricorso. Sono altresì rimborsabili integralmente i disborsi indi- cati nella nota d'onorario per le copie originali e le spese postali, per un totale di CHF 117.80. Tuttavia, giusta l’art. 11 cpv. 4 TS-TAF per le fotocopie possono essere fatturati al massimo 50 centesimi a pagina, motivo per cui per le copie non originali possono essere riconosciuti unicamente CHF 86.- (172 pag. x CHF 0.5); per un totale complessivo di CHF 253.80 (CHF 50 + 117.80 + 86).</w:t>
      </w:r>
    </w:p>
    <w:p>
      <w:r>
        <w:rPr>
          <w:b/>
        </w:rPr>
        <w:t>E. 5.2.6</w:t>
      </w:r>
    </w:p>
    <w:p>
      <w:r>
        <w:t>In conclusione, la nota d'onorario "moderata" in questa sede è fissata in CHF 2’800.45 (CHF 2'546.65+253.80); senza IVA ai sensi dell’art. 9 cpv. 1 lett. c TS-TAF, la stessa non essendo dovuta nel caso concreto [v. sen- tenza del TAF C-4041/2021 del 2 marzo 2023 consid. 15.2.7]), tenuto conto del lavoro utile e necessario svolto dal rappresentante della ricorrente. L’in- dennità per ripetibili è posta a carico dell’UAIE.</w:t>
      </w:r>
    </w:p>
    <w:p>
      <w:r>
        <w:rPr>
          <w:b/>
        </w:rPr>
        <w:t>E. 5.3</w:t>
      </w:r>
    </w:p>
    <w:p>
      <w:r>
        <w:t>Visto l’esito della causa e ritenuto che la ricorrente ha diritto al paga- mento di ripetibili da parte dell’autorità inferiore, la decisione incidentale del 30 ottobre 2023, con cui è stata accolta la domanda di assistenza giudizia- ria e di gratuito patrocinio (doc. TAF 12), ha da ritenersi caduca (cfr.</w:t>
      </w:r>
    </w:p>
    <w:p>
      <w:r>
        <w:t>C-1378/2023 Pagina 11 sentenza del TAF C-4013/2020 del 5 marzo 2024 consid. 10.2 con rinvio; cf. ANDRÉ MOSER, MICHAEL BEUSCH, LORENZ KNEUBÜHLER, MARTIN KAY- SER, Prozessieren vor dem Bundesverwaltungsgericht, 3a. edizione, Pully, Zurigo e Berna, 2022, n. 4.123, p. 327). Per questi motivi, il Tribunale amministrativo federale pronun- cia: 1. Il ricorso è accolto nel senso che la decisione impugnata del 6 febbraio 2023 è annullata e gli atti di causa sono rinviati all'UAIE affinché proceda al completamento dell'istruttoria ed alla pronuncia di una nuova decisione ai sensi dei considerandi. 2. Non si prelevano spese processuali. 3. L'UAIE rifonderà alla ricorrente CHF 2’800.45 a titolo di spese ripetibili. 4. Questa sentenza è comunicata alla ricorrente, all'autorità inferiore e all’UFAS.</w:t>
      </w:r>
    </w:p>
    <w:p>
      <w:r>
        <w:t>Il presidente del collegio: Il cancelliere:</w:t>
      </w:r>
    </w:p>
    <w:p>
      <w:r>
        <w:t>Vito Valenti Oliver Engel</w:t>
      </w:r>
    </w:p>
    <w:p>
      <w:r>
        <w:t>I rimedi giuridici sono menzionati alla pagina seguente.</w:t>
      </w:r>
    </w:p>
    <w:p>
      <w:r>
        <w:t>C-1378/2023 Pagina 12</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