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C-1368/2014 vom 17. August 2015</w:t>
      </w:r>
    </w:p>
    <w:p>
      <w:r>
        <w:t>Bundesverwaltungsgericht, 2015-08-17, DE</w:t>
      </w:r>
    </w:p>
    <w:p>
      <w:r>
        <w:rPr>
          <w:b/>
        </w:rPr>
        <w:t xml:space="preserve">Quelle: </w:t>
      </w:r>
      <w:r>
        <w:t>https://mcp.opencaselaw.ch/entscheid/bvger_C-1368_2014</w:t>
      </w:r>
    </w:p>
    <w:p>
      <w:r>
        <w:t>FR: TAF C-1368/2014 du 17 août 2015</w:t>
      </w:r>
    </w:p>
    <w:p>
      <w:r>
        <w:t>IT: TAF C-1368/2014 del 17 agosto 2015</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Adressat der angefochtenen Verfügung ist der Beschwer­de­führer davon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2.1.1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2.1.2 Mit Blick auf den Verfügungszeitpunkt (7. Februar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zum 31. Dezember 2007 gültig gewesenen Rechtslage, so dass die zur altrechtlichen Regelung ergangene Rechtsprechung weiterhin massgebend ist (vgl. Urteile BGer 8C_944/2010 vom 21. März 2011 E. 3, 8C_373/2008 vom 28. August 2008 E. 2.1, siehe auch BGE 135 V 215 E. 7).</w:t>
      </w:r>
    </w:p>
    <w:p>
      <w:r>
        <w:rPr>
          <w:b/>
        </w:rPr>
        <w:t>E. 3</w:t>
      </w:r>
    </w:p>
    <w:p>
      <w:r>
        <w:t>In materieller Hinsicht sind namentlich folgende Bestimmungen und Grundsätze zu beachten.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3.3</w:t>
      </w:r>
    </w:p>
    <w:p>
      <w:r>
        <w:t>Im Gebiet der Invalidenversicherung gilt allgemein der Grundsatz der Schadenminderungspflicht,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rentenausschliessendes Erwerbseinkommen zu erzielen. Von der versicherten Person dürfen dabei aber nur Vorkehren verlangt werden, die unter Berücksichtigung der gesamten objektiven und subjektiven Gegebenheiten des Einzelfalles zumutbar sind.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(zum Ganzen: Urteil BGer 8C_748/2011 vom 11. Juni 2012 E. 6.3 m.w.H.; Urteil EVG I 15/05 vom 18. Juli 2005 E. 6.1.1 f.).</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m.w.H.; vgl. auch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3.6</w:t>
      </w:r>
    </w:p>
    <w:p>
      <w:r>
        <w:t>Der Versicherungsträger kann auf formell rechtskräftige Verfügungen oder Einspracheentscheide zurückkommen, wenn diese zweifellos unrichtig sind und wenn ihre Berichtigung von erheblicher Bedeutung ist (Art. 53 Abs. 2 ATSG). Vorausgesetzt ist, dass kein vernünftiger Zweifel an der Unrichtigkeit der Verfügung möglich, folglich nur dieser einzige Schluss denkbar ist. Als in diesem Sinne qualifiziert unrichtig erweist sich eine Verfügung zum einen dann, wenn die notwendigen fachärztlichen Abklärungen überhaupt nicht oder nicht mit der erforderlichen Sorgfalt durchgeführt worden sind. Weiter ist zweifellose Unrichtigkeit in der Regel gegeben, wenn eine Leistungszusprechung auf Grund falscher Rechtsregeln erfolgt ist oder massgebliche Bestimmungen nicht oder unrichtig angewandt wurden.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BGer 8C_125/2015 vom 26. Juni 2015 E. 9.1 m.w.H.; vgl. auch Urteil BGer 9C_816/2013 vom 20. Februar 2014 E. 1.1 m.w.H.). Unter den gleichen Voraussetzungen kann der Versicherungsträger auf formlos zugesprochene Leistungen (vgl. Art. 51 ATSG und Art. 74ter IVV) zurückkommen (BGE 129 V 110; Urteil BGer 9C_851/2013 vom 24. Juni 2014 E. 2; Urteil BGer 9C_95/2015 vom 27. Mai 2015 E. 5.3).</w:t>
      </w:r>
    </w:p>
    <w:p>
      <w:r>
        <w:rPr>
          <w:b/>
        </w:rPr>
        <w:t>E. 4</w:t>
      </w:r>
    </w:p>
    <w:p>
      <w:r>
        <w:t>Der Revisionsordnung nach Art. 17 ATSG geht die Wiedererwägung im Sinne von Art. 53 Abs. 2 ATSG vor (Urteil BGer 8C_846/2010 vom 10. Dezember 2010 E. 1.4). Daher ist zunächst zu prüfen, ob die rentenzusprechende Verfügung vom 27. Januar 2009 bzw. die Mitteilung vom 21. März 2012 als zweifellos unrichtig im Sinne der dargelegten Rechtsprechung zu qualifizieren ist. Die erhebliche Bedeutung der Berichtigung ist bei einer Invalidenrente als periodische Dauerleistung ohne Weiteres zu bejahen (vgl. BGE 140 V 85 E. 4.4; in BGE 135 I 1 nicht publizierte E. 5.3 des Urteils 9C_342/2008 vom 20. November 2008).</w:t>
      </w:r>
    </w:p>
    <w:p>
      <w:r>
        <w:rPr>
          <w:b/>
        </w:rPr>
        <w:t>E. 4.1</w:t>
      </w:r>
    </w:p>
    <w:p>
      <w:r>
        <w:t>Die rentenzusprechende Verfügung stützte sich insbesondere auf die Stellungnahme des medizinischen Dienstes der IVSTA, Dr. B._______, vom 12. Oktober 2008 (IV-act. 41).</w:t>
      </w:r>
    </w:p>
    <w:p>
      <w:r>
        <w:rPr>
          <w:b/>
        </w:rPr>
        <w:t>E. 4.1.1</w:t>
      </w:r>
    </w:p>
    <w:p>
      <w:r>
        <w:t>Der IV-Stellenarzt attestierte dem Beschwerdeführer in der angestammten Tätigkeit als Plattenleger eine Arbeitsunfähigkeit von 70% ab April 2007 bzw. von 40% seit August 2007. Die Frage, nach einer zumutbaren Verweistätigkeit verneinte er mit dem Hinweis, eine solche stehe nicht zur Diskussion. Der IV-Stellenarzt zitierte aber den orthopädischen Verlaufsbericht von Dr. D._______ (vgl. IV-act. 37), der dem Versicherten eine volle Arbeitsfähigkeit für leichte und mittelschwere Tätigkeiten ohne Überkopfarbeiten attestiere.</w:t>
      </w:r>
    </w:p>
    <w:p>
      <w:r>
        <w:rPr>
          <w:b/>
        </w:rPr>
        <w:t>E. 4.1.2</w:t>
      </w:r>
    </w:p>
    <w:p>
      <w:r>
        <w:t>Weshalb nach Ansicht des IV-Stellenarztes eine Verweistätigkeit "nicht zur Diskussion" stand, lässt sich aufgrund der Stellungnahme nur vermuten. So wird beispielsweise erwähnt, die Teilarbeitsfähigkeit sei möglicherweise nur vorübergehender Natur. Der Zustand sei "besserbar". Er schlage deshalb in 1-2 Jahren eine Revision vor, möglicherweise lägen dann auch aktuelle Erfolgsrechnungen vor, "welche eine (dauernde?) Teilerwerbsunfähigkeit belegen" (IV-act. 41 S. 2). Der IV-Stellenarzt war vermutlich der Ansicht, vom Beschwerdeführer könne zu diesem Zeitpunkt noch nicht die Aufgabe der selbständigen Erwerbstätigkeit verlangt werden.</w:t>
      </w:r>
    </w:p>
    <w:p>
      <w:r>
        <w:rPr>
          <w:b/>
        </w:rPr>
        <w:t>E. 4.2</w:t>
      </w:r>
    </w:p>
    <w:p>
      <w:r>
        <w:t>Die Aufgabe einer selbständigen Erwerbstätigkeit kann aufgrund des Grundsatzes der Schadenminderungspflicht geboten sein (vgl. E. 3.3). Die Frage, ob und gegebenenfalls ab wann es dem Beschwerdeführer zumutbar gewesen wäre, seinen Einmannbetrieb aufzugeben und eine unselbständige, seinem Leiden angepasste Erwerbstätigkeit anzunehmen, um die Restarbeitsfähigkeit voll auszuschöpfen, ist von den rechtsanwendenden Behörden und nicht von einem medizinischen Sachverständigen zu beurteilen (vgl. E. 3.4). Bei ihrem Entscheid hat die Behörde aber die Einschätzungen der Sachverständigen zu berücksichtigen.</w:t>
      </w:r>
    </w:p>
    <w:p>
      <w:r>
        <w:rPr>
          <w:b/>
        </w:rPr>
        <w:t>E. 4.3</w:t>
      </w:r>
    </w:p>
    <w:p>
      <w:r>
        <w:t>Aufgrund der Akten ist davon auszugehen, dass die Verwaltung die Einschätzung der Arbeitsunfähigkeit des IV-Stellenarztes ihrer Verfügung zugrunde gelegt hat, ohne dessen Ausführungen zur Kenntnis zu nehmen. Erst nach der revisionsweisen Bestätigung des Rentenanspruchs (im März 2012) stellte die Verwaltung - aufgrund der Neubeurteilung der IV-Stellenärztin nach dem erlittenen Herzinfarkt - fest, dass in einer angepassten Tätigkeit bereits seit April 2008 keine Arbeitsunfähigkeit bestanden hatte (vgl. IV-act. 85-89 und 103). Vor Erlass der rentenzusprechenden Verfügung wurde nicht geprüft, ob auch eine Erwerbsunfähigkeit im Sinne von Art. 7 Abs. 1 ATSG und eine Invalidität im Sinne von Art. 8 Abs. 1 ATSG vorlagen.</w:t>
      </w:r>
    </w:p>
    <w:p>
      <w:r>
        <w:rPr>
          <w:b/>
        </w:rPr>
        <w:t>E. 4.4</w:t>
      </w:r>
    </w:p>
    <w:p>
      <w:r>
        <w:t>Nach der Rechtsprechung ist eine zweifellose Unrichtigkeit der ursprünglichen Rentenverfügung zu bejahen, wenn bis zum damaligen Verfügungszeitpunkt keine Einschätzung der Leistungsfähigkeit in einer zumutbaren Verweistätigkeit vorlag und der Invaliditätsgrad allein nach Massgabe der Arbeitsfähigkeit festgelegt wurde. In einem solchen Fall wurde bei der erstmaligen Anspruchsprüfung die Invalidität der Arbeitsunfähigkeit gleichgestellt und damit von einem rechtlich falschen Invaliditätsbegriff ausgegangen. Ein Wiedererwägungsgrund liegt aber nur vor, wenn gestützt auf eine rechtlich korrekte Invaliditätsbemessung ohne Zweifel eine tiefere (oder keine) Rente zugesprochen worden wäre (in BGE 135 I 1 nicht publizierte E. 5.3 des Urteils 9C_342/2008 vom 20. No­vember 2008; Urteil BGer 8C_114/2015 vom 6. Juni 2015 E. 4.2.1).</w:t>
      </w:r>
    </w:p>
    <w:p>
      <w:r>
        <w:rPr>
          <w:b/>
        </w:rPr>
        <w:t>E. 4.5</w:t>
      </w:r>
    </w:p>
    <w:p>
      <w:r>
        <w:t>Vorliegend wäre zwar eine medizinische Einschätzung der Leistungsfähigkeit in einer zumutbaren Verweistätigkeit vorhanden gewesen, die Verwaltung hat diese aber nicht zur Kenntnis genommen. Die Vorinstanz hat die Arbeitsunfähigkeit ohne weitere Prüfung einer Invalidität gleichgesetzt und ist damit von einem falschen Invaliditätsbegriff ausgegangen. Hingegen steht nicht ohne Zweifel fest, dass eine rechtlich korrekte Invaliditätsbemessung damals keinen Rentenanspruch ergeben hätte. Denn die IVSTA hätte bei der Beurteilung der Zumutbarkeit des Berufswechsels (vgl. E. 3.3) auch berücksichtigen müssen, dass die Gesundheitsbeeinträchtigung möglicherweise nur vorübergehend sein könnte.</w:t>
      </w:r>
    </w:p>
    <w:p>
      <w:r>
        <w:rPr>
          <w:b/>
        </w:rPr>
        <w:t>E. 4.6</w:t>
      </w:r>
    </w:p>
    <w:p>
      <w:r>
        <w:t>Spätestens bei der revisionsweisen Überprüfung des Rentenanspruchs hätte die Vorinstanz aber berücksichtigen müssen, dass der Beschwerdeführer bei der Ausübung von leichten und mittelschweren Tätigkeiten (ohne Überkopfarbeiten und Tätigkeiten im Knien oder in der Hocke) vollschichtig arbeitsfähig war (vgl. IV-act. 61, 60 S. 3 und 59, 55 S. 6), und einen Einkommensvergleich durchführen müssen. Die Bestätigung des Rentenanspruchs vom 21. März 2012 war demnach zweifellos unrichtig, weshalb die Vorinstanz zu Recht darauf zurückgekommen ist.</w:t>
      </w:r>
    </w:p>
    <w:p>
      <w:r>
        <w:rPr>
          <w:b/>
        </w:rPr>
        <w:t>E. 5.1</w:t>
      </w:r>
    </w:p>
    <w:p>
      <w:r>
        <w:t>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Vielmehr sind in der Regel vorgängig Massnahmen zur Eingliederung durchzuführen, bis die Betroffenen in der Lage sind, das medizinisch-theoretisch (wieder) ausgewiesene Leistungs­potenzial mittels Eigenanstrengung auszuschöpfen und erwerblich zu verwerten (Urteil BGer 8C_855/2013 vom 30. April 2014 E. 2.2 m.w.H.; Urteil BGer 9C_816/2013 vom 20. Februar 2014 E. 2.2 m.w.H.).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BGer 9C_367/2011 vom 10. August 2011 E. 3.3).</w:t>
      </w:r>
    </w:p>
    <w:p>
      <w:r>
        <w:rPr>
          <w:b/>
        </w:rPr>
        <w:t>E. 5.2</w:t>
      </w:r>
    </w:p>
    <w:p>
      <w:r>
        <w:t>Die Vorinstanz ist offenbar der Ansicht, der massgebende Zeitpunkt, in welchem die Frage nach der Verwertbarkeit der (Rest-)Arbeitsfähigkeit bei vorgerücktem Alter zu beantworten ist, sei auch bei einer wiedererwägungsweisen Aufhebung der Rente entsprechend BGE 138 V 457 zu bestimmen (vgl. angefochtene Verfügung S. 3, IV-act. 115). Demnach wäre auf den Zeitpunkt des Feststehens der medizinischen Zumutbarkeit einer (Teil-)Erwerbstätigkeit abzustellen (BGE 138 V 457 E. 3.3). Dies kann vorliegend schon deshalb nicht der massgebende Zeitpunkt sein, weil die medizinische Zumutbarkeit der Erwerbstätigkeit (in einer angepassten Tätigkeit) bereits vor Erlass der rentenzusprechenden Verfügung feststand (und nicht erst am 13. November 2012). Es erscheint vielmehr sachgerecht, wie bei einer revisionsweisen Rentenaufhebung vorzugehen. Demnach ist auf den Zeitpunkt der rentenaufhebenden Verfügung resp. auf den darin verfügten Zeitpunkt der Rentenaufhebung abzustellen (vgl. BGE 141 V 5 E. 4.2.1).</w:t>
      </w:r>
    </w:p>
    <w:p>
      <w:r>
        <w:rPr>
          <w:b/>
        </w:rPr>
        <w:t>E. 5.3</w:t>
      </w:r>
    </w:p>
    <w:p>
      <w:r>
        <w:t>Mit der angefochtenen Verfügung hob die IVSTA die Rente per 1. April 2014 auf. Zu diesem Zeitpunkt war der Beschwerdeführer 59 Jahre alt, weshalb eine Selbsteingliederung in der Regel nicht mehr zumutbar ist. Soweit die Vorinstanz in ihrer Vernehmlassung auf ihr "Avis juridique" (IV-act. 115) bzw. die Begründung in der angefochtenen Verfügung verweist, ist festzuhalten, dass damit nicht ein Ausnahmefall im Sinne der Rechtsprechung begründet wird (vgl. E. 5.1; Petra Fleischanderl, Behandlung der Eingliederungsfrage im Falle der Revision einer langjährig ausgerichteten Invalidenrente, in: SZS 2012 S. 360 ff.), zumal sich die Vorinstanz primär auf nicht einschlägige Rechtsprechung stützt. Insbesondere kann eine ausnahmsweise zumutbare Selbsteingliederung nicht damit begründet werden, dass der Beschwerdeführer nie ganz aus dem Erwerbsleben ausgeschieden ist, weil er stets in seinem Beruf als Fliesenleger gearbeitet hat und daher nicht über Berufserfahrungen verfügt, die seinem vorhandenen Leistungsprofil entsprechen. Dafür dass er über besondere kaufmännische Qualifikationen verfügen könnte, gibt es keine Hinweise.</w:t>
      </w:r>
    </w:p>
    <w:p>
      <w:r>
        <w:rPr>
          <w:b/>
        </w:rPr>
        <w:t>E. 5.4</w:t>
      </w:r>
    </w:p>
    <w:p>
      <w:r>
        <w:t>Demnach ist die angefochtene Verfügung aufzuheben und die Sache an die Vorinstanz zurückzuweisen, damit sie die Eingliederungsfrage prüfe. In diesem Sinne ist die Beschwerde gutzuheissen. Abzuweisen ist hingegen der Antrag des Beschwerdeführers, es sei ihm eine halbe Rente zuzusprechen.</w:t>
      </w:r>
    </w:p>
    <w:p>
      <w:r>
        <w:rPr>
          <w:b/>
        </w:rPr>
        <w:t>E. 6</w:t>
      </w:r>
    </w:p>
    <w:p>
      <w:r>
        <w:t>Zu befinden bleibt noch über die Verfahrenskosten und eine allfällige Parteientschädigung.</w:t>
      </w:r>
    </w:p>
    <w:p>
      <w:r>
        <w:rPr>
          <w:b/>
        </w:rPr>
        <w:t>E. 6.1</w:t>
      </w:r>
    </w:p>
    <w:p>
      <w:r>
        <w:t>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CHF 200.- auferlegt. Diese werden dem geleisteten Kostenvorschuss von CHF 400.- entnommen. Der Restbetrag von CHF 200.- wird ihm nach Eintritt der Rechtskraft des vorliegenden Urteils zurückerstattet.</w:t>
      </w:r>
    </w:p>
    <w:p>
      <w:r>
        <w:rPr>
          <w:b/>
        </w:rPr>
        <w:t>E. 6.2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 Da keine Kostennote eingereicht wurde, ist die Entschädigung aufgrund der Akten festzusetzen (vgl. Art. 14 Abs. 2 VGKE). Unter Berücksichtigung des teilweisen Obsiegens sowie des gebotenen und aktenkundigen Aufwandes erscheint eine Parteientschädigung von pauschal CHF 800.-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