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C-1367/2016 vom 23. November 2018</w:t>
      </w:r>
    </w:p>
    <w:p>
      <w:r>
        <w:t>Bundesverwaltungsgericht, 2018-11-23, DE</w:t>
      </w:r>
    </w:p>
    <w:p>
      <w:r>
        <w:rPr>
          <w:b/>
        </w:rPr>
        <w:t xml:space="preserve">Quelle: </w:t>
      </w:r>
      <w:r>
        <w:t>https://mcp.opencaselaw.ch/entscheid/bvger_C-1367_2016</w:t>
      </w:r>
    </w:p>
    <w:p>
      <w:r>
        <w:t>FR: TAF C-1367/2016 du 23 novembre 2018</w:t>
      </w:r>
    </w:p>
    <w:p>
      <w:r>
        <w:t>IT: TAF C-1367/2016 del 23 novembre 2018</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ist als zugelassene Unfallversicherung mit öffentlich-rechtlichen Aufgaben des Bundes betraut und als solche eine Vorinstanz im Sinne von Art. 33 lit.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lit. b UVG ausdrücklich geregelt. Anfechtungsobjekt ist vorliegend der Einspracheentscheid der Vorinstanz vom 23. Dezember 2015, in welchem sie die Verfügung vom Oktober 2015 bestätigt, mit welcher der Beschwerdeführer in neue Gefahrenklassen, Stufen und Unterklassen eingereiht und der Endprämiensatz neu festgesetzt wurde. Somit ist das Bundesverwaltungsgericht für die Beurteilung der Streitsache zuständig.</w:t>
      </w:r>
    </w:p>
    <w:p>
      <w:r>
        <w:rPr>
          <w:b/>
        </w:rPr>
        <w:t>E. 1.3</w:t>
      </w:r>
    </w:p>
    <w:p>
      <w:r>
        <w:t>Das Verfahren vor dem Bundesverwaltungsgericht richtet sich nach dem Verwaltungsverfahrensgesetz, soweit das Verwaltungsgerichtsgesetz nichts anderes bestimmt (Art. 37 VGG). Vorbehalten bleiben gemäss Art. 3 lit. dbis VwVG die besonderen Bestimmungen des ATSG (SR 830.1).</w:t>
      </w:r>
    </w:p>
    <w:p>
      <w:r>
        <w:rPr>
          <w:b/>
        </w:rPr>
        <w:t>E. 1.4</w:t>
      </w:r>
    </w:p>
    <w:p>
      <w:r>
        <w:t>Der Beschwerdeführer hat am vorinstanzlichen Verfahren teilgenommen, ist als Adressat durch den angefochtenen Einspracheentscheid vom 23. Dezember 2015 in besonderer Weise berührt und hat an dessen Aufhebung oder Änderung ein schutzwürdiges Interesse (Art. 48 Abs. 1 VwVG; vgl. auch Art. 59 ATSG). Er ist deshalb zur Beschwerde legitimiert.</w:t>
      </w:r>
    </w:p>
    <w:p>
      <w:r>
        <w:rPr>
          <w:b/>
        </w:rPr>
        <w:t>E. 1.5.1</w:t>
      </w:r>
    </w:p>
    <w:p>
      <w:r>
        <w:t>Die Beschwerde wurde frist- und formgerecht eingereicht (Art. 60 Abs. 1 und 2 in Verbindung mit Art. 38 Abs. 4 lit. c und Art. 39 Abs. 2 ATSG). Da auch der Kostenvorschuss von Fr. 1'500.- rechtzeitig überwiesen wurde, ist auf die Beschwerde grundsätzlich einzutreten.</w:t>
      </w:r>
    </w:p>
    <w:p>
      <w:r>
        <w:rPr>
          <w:b/>
        </w:rPr>
        <w:t>E. 1.5.2</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 (vgl. E. 1.2 hiervor). Was die konkrete Festsetzung der Prämie und die Verletzung von Vertragsrecht betrifft, ist das Bundesverwaltungsgericht für die Behandlung dieser Rügen nicht zuständig, weshalb diesbezüglich nicht auf die Beschwerde einzutreten ist (vgl. Urteile des BVGer C-1362/2016 vom 23. März 2017 E. 1.2 und C-1363/2016 vom 19. Juni 2017 E. 1.2 mit Hinweis auf das Urteil des Bundesgerichts [BGer] U 18/03 vom 20. November 2003 E. 4.3.2).</w:t>
      </w:r>
    </w:p>
    <w:p>
      <w:r>
        <w:rPr>
          <w:b/>
        </w:rPr>
        <w:t>E. 1.5.3</w:t>
      </w:r>
    </w:p>
    <w:p>
      <w:r>
        <w:t>Anfechtungs- und Streitgegenstand bildet demnach die Neueinreihung in den Prämientarif. Aufgrund der Ausführungen des Beschwerdeführers ist streitig und zu prüfen, ob für die Neueinreihung und der damit verbundenen Prämienerhöhung ausreichende und nachvollziehbare Gründe vorliegen resp. ob die Vorinstanz die Notwendigkeit und das Ausmass der Prämienerhöhung in rechtsgenüglicher Weise nachgewiesen hat. Nicht streitig und nicht zu prüfen ist die vertragliche Regelung, wonach dem Versicherten im Falle einer Kündigung nach Art. 92 Abs. 5 UVG kein Kündigungsrecht vor Vertragsablauf zusteht (vgl. zur Abgrenzung E. 1.5.2 hiervor).</w:t>
      </w:r>
    </w:p>
    <w:p>
      <w:r>
        <w:rPr>
          <w:b/>
        </w:rPr>
        <w:t>E. 1.5.4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 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 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Zürich 2003, S. 348).</w:t>
      </w:r>
    </w:p>
    <w:p>
      <w:r>
        <w:rPr>
          <w:b/>
        </w:rPr>
        <w:t>E. 2</w:t>
      </w:r>
    </w:p>
    <w:p>
      <w:r>
        <w:t>Zunächst sind die für die Einreihung von Betrieben wichtigsten gesetzli-chen Bestimmungen, massgebenden Grundsätze sowie die massgebli-chen Tarifbestimmungen wiederzugeben.</w:t>
      </w:r>
    </w:p>
    <w:p>
      <w:r>
        <w:rPr>
          <w:b/>
        </w:rPr>
        <w:t>E. 2.1</w:t>
      </w:r>
    </w:p>
    <w:p>
      <w:r>
        <w:t>Für die Durchführung der Unfallversicherung sind einheitliche Rechnungsgrundlagen zu verwenden. Der Bundesrat erlässt Richtlinien (Art. 89 Abs. 1 UVG).</w:t>
      </w:r>
    </w:p>
    <w:p>
      <w:r>
        <w:rPr>
          <w:b/>
        </w:rPr>
        <w:t>E. 2.2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2.3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UVV). Gemäss Art. 115 Abs. 1 UVV werden die Prämien - unter Vorbehalt der in den lit. a bis d genannten Abweichungen - auf dem versicherten Verdienst im Sinne von Art. 22 Abs. 1 und 2 UVV erhoben.</w:t>
      </w:r>
    </w:p>
    <w:p>
      <w:r>
        <w:rPr>
          <w:b/>
        </w:rPr>
        <w:t>E. 2.4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2.5</w:t>
      </w:r>
    </w:p>
    <w:p>
      <w:r>
        <w:t>Bei der Prämienbemessung ist weiter das in Art. 61 Abs. 2 UVG vorgesehene Prinzip der Gegenseitigkeit zu berücksichtigen. Dieses Prinzip verlangt, dass die Suva und die weiteren an der obligatorischen Unfallversicherung beteiligten Versicherer einerseits keine Gewinne aus dem Versicherungsgeschäft erzielen, andererseits finanziell autonom sein sollen.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2.6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2.7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Bundesgericht (vormals Eidg. Versicherungsgericht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2.8</w:t>
      </w:r>
    </w:p>
    <w:p>
      <w:r>
        <w:t>Laut dem hier anwendbaren Prämientarif der C._______, gültig ab dem 1. Januar 2016 ([Vorinstanz] act. 18) werden die Betriebe sowohl in der BUV als auch in der NBUV in Gefahrenklassen des Tarifs eingereiht. In der BUV erfolgt alsdann eine Einreihung in Gefahrenstufen, in der NBUV eine Einreihung in Unterklassen. Eine nachträgliche höhere Einstufung in eine andere Gefahrenstufe ist bei Kleinbetrieben (ohne Erfahrungstarifierung) in der BUV und in der NBUV aufgrund von Sanierungen möglich (S. 4, 5). In Bst. C (Prämientarif; S. 9 ff.) wird die Berechnung der Prämiensätze in der BUV und der NBUV (BU/NBU-Klassen, Nettoprämiensätze, Verwaltungskostenzusätze, Bruttoprämiensätze, Unfallverhütungsbeiträge, Prämienzuschläge für Teuerungszulagen und Endprämiensätze) beschrieben. Laut Bst. D (S. 15 f.) können Kleinbetriebe bei schlechtem Verlauf des Versicherungszweigs saniert, d.h. in eine BU-Stufe bzw. eine NBU-Unterklasse höher als 10 eingereiht werden. Dabei wird empfohlen, die nachstehenden Regeln anzuwenden. Weiter wird in Bst. D unter anderem der Rhythmus der Erfahrungstarifierung, die Beobachtungsperiode und die Kalkulation beschreiben (S. 16 f.). Im Anhang zum Tarif werden u. a. fiktive Berechnungsbeispiele dargestellt (S. 18 f.). Für den Beschwerdeführer als Kleinbetrieb kommt die unter Bst. D beschriebene Erfahrungstarifierung nicht zur Anwendung, da die entsprechend beschriebenen Limiten nicht erreicht wurden.</w:t>
      </w:r>
    </w:p>
    <w:p>
      <w:r>
        <w:rPr>
          <w:b/>
        </w:rPr>
        <w:t>E. 3</w:t>
      </w:r>
    </w:p>
    <w:p>
      <w:r>
        <w:t>Betreffend die durch den Beschwerdeführer geltend gemachte Nichtigkeit des angefochtenen Einspracheentscheids vom 23. Dezember 2015 zufolge unzulänglicher Begründung ist festzuhalten, dass Nichtigkeit nur unter ganz bestimmten eng umschriebenen Vorausetzungen anzunehmen ist.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(BGE 138 III 49 E. 4.4.3 S. 56; Urteil des BGer 9C_320/2014 vom 29. Januar 2015 E. 4.1 mit Hinweisen). Als nichtig wäre namentlich eine Verfügung anzusehen, die einen unmöglichen Inhalt hat, bei der die Fehlerhaftigkeit an ihr selbst zum Ausdruck kommt, bei tatsächlicher Unmöglichkeit des Vollzugs oder wenn sie unklar oder unbestimmt ist (Urteil des BGer 5P.178/2003 vom 2. Juni 2003 E. 3.2). Eine unzureichende Begründung der Verfügung stellt aber keinen Nichtigkeitsgrund dar (vgl. Urteil des BGer 2A.61/2006 vom 2. März 2006 E. 2.2, Urteil des BVGer C-7527/2014 vom 12. August 2015 E. 2.2). Die mangelnde explizite Aufteilung der Prämienbestandteile und die fehlende Begründung für die Erhöhung führen demnach nicht zur Nichtigkeit des angefochtenen Einspracheentscheids vom 23. Dezember 2015.</w:t>
      </w:r>
    </w:p>
    <w:p>
      <w:r>
        <w:rPr>
          <w:b/>
        </w:rPr>
        <w:t>E. 4.1</w:t>
      </w:r>
    </w:p>
    <w:p>
      <w:r>
        <w:t>Per 1. Januar 2016 setzte die C._______ einen neuen Tarif in Kraft und ersetzte damit ihren Tarif vom 1. Januar 2014 (act. 9). Im neuen Tarif wurden die Schulen privat (ohne Sportschule) durch die C._______ in die Klasse 760 (BUV) und Klasse 102 (NBUV) eingereiht. Die Vorinstanz übernahm die durch die C._______ erfolgte Einreihung des Beschwerdeführers in die Gefahrenklassen. Gleichzeitig hat die Vorinstanz den Betrieb per 1. Januar 2016 neu in die Stufe 10 für BU und in die Unterklasse 10 für NBU - dem Durchschnittswert - eingereiht. Es erfolgten somit neu ab dem 1. Januar 2016 Erhöhungen in der BUV um 2 Stufen und in der NBUV um 3 Unterklassen, was zur Folge hatte, dass sich der Endprämiensatz beim Beschwerdeführer per 1. Januar 2016 von 1,68perthousand auf 2,12perthousand (BUV) respektive von 10,24perthousand auf 12,04perthousand erhöhte.</w:t>
      </w:r>
    </w:p>
    <w:p>
      <w:r>
        <w:rPr>
          <w:b/>
        </w:rPr>
        <w:t>E. 4.2.1</w:t>
      </w:r>
    </w:p>
    <w:p>
      <w:r>
        <w:t>Die Vorinstanz begründete diese Erhöhung in der Verfügung mit der gestiegenen Lebenserwartung und mit der Zunahme der Behandlungskosten. In ihrem Einspracheentscheid begründete sie die Erhöhung mit dem neuen Tarif und mit der Erfahrung der Risikogemeinschaft (beim Beschwerdeführer handelt es sich um einen Kleinbetrieb) und damit, dass die Zahl und die Kosten der Unfälle Zufallsschwankungen unterworfen seien, weshalb für die Ermittlung des mutmasslichen künftigen Risikos der Mehrzahl der Betriebe zwangsläufig weitgehend auf die Erfahrungen mit der Gesamtheit der in der Risikogemeinschaft zusammengefassten Risikoeinheiten abgestellt werden müsse. Als weiteren Grund für die Erhöhung führte die Vorinstanz an, ohne eine solche wären die Prämien für allfällige zukünftige Leistungen nicht mehr kostendeckend gewesen. In der Vernehmlassung und in der Duplik verwies die Vorinstanz erneut auf den neuen Tarif der C._______ sowie auf ein Schreiben des BAG vom 26. Februar 2015, welche beide Anlass geboten hätten, die Prämiensätze aller bei ihr versicherten Betriebe zu überprüfen, anzupassen und auch mit den Anforderungen des BAG in Einklang zu bringen. Die Überprüfung habe ergeben, dass der ursprüngliche Einreihungsentscheid einer Änderung bedurft habe. In diesem Sinne seien auch die Voraussetzungen einer Wiedererwägung vorliegend gegeben. Eine Anpassung der Prämiensätze an die Risikogemeinschaft sei notwendig und somit zulässig gewesen. Schliesslich machte die Vorinstanz auch in der Duplik vom 19. September 2016 noch geltend, die Prämienerhöhung sei - unter Geltendmachung der clausula rebus sic stantibus - auf den neuen Tarif zurückzuführen.</w:t>
      </w:r>
    </w:p>
    <w:p>
      <w:r>
        <w:rPr>
          <w:b/>
        </w:rPr>
        <w:t>E. 4.2.2</w:t>
      </w:r>
    </w:p>
    <w:p>
      <w:r>
        <w:t>Der Beschwerdeführer machte geltend, die Erhöhung der Prämie lasse sich nicht mit der Einführung des neuen Tarifs der C._______ und mit der gestiegenen Lebenserwartung sowie der Zunahme der Behandlungskosten der Risikogemeinschaft begründen. Die behaupteten höheren Schadenaufwendungen hätten sich im Tarif der Risikogemeinschaft, welcher der Beschwerdeführer zugeteilt worden sei, niederschlagen müssen, was eben nicht der Fall gewesen sei.</w:t>
      </w:r>
    </w:p>
    <w:p>
      <w:r>
        <w:rPr>
          <w:b/>
        </w:rPr>
        <w:t>E. 4.2.3</w:t>
      </w:r>
    </w:p>
    <w:p>
      <w:r>
        <w:t>Den Akten ist zu entnehmen, dass der Beschwerdeführer in der Gefahrenklassifikation des Tarifs neuen Nummern (760 in der BUV [vorher 76], 102 in der NBUV [vorher 11]) zugeteilt wurde. Der Endprämiensatz blieb sowohl in der BUV als auch in der NBUV gleich und blieb - bezogen auf die Stufe 10 respektive Unterklasse 10 - bei 2,12perthousand (BUV) respektive 12,04perthousand (NBUV). Inwieweit sich die Vorinstanz unter diesen Umständen bei der Neueinreihung, verbunden mit einer massiven Prämienerhöhung, auf den Tarif berufen will, kann deshalb nicht rechtsgenüglich nachvollzogen werden. In den Akten finden sich schliesslich auch keine Hinweise dafür, dass sich die von der Vorinstanz geltend gemachte gestiegene Lebenserwartung oder die geltend gemachte Zunahme der Behandlungskosten im Prämientarif der C._______ in der Risikogemeinschaft Schule privat (ohne Sportschule) niedergeschlagen hätte. Insgesamt lässt sich die Neueinreihung bzw. die Prämienerhöhung gestützt auf die clausula rebus sic stantibus nicht mit dem neuen Tarif begründen respektive ist die Prämienerhöhung nicht rechtsgenüglich nachvollziehbar.</w:t>
      </w:r>
    </w:p>
    <w:p>
      <w:r>
        <w:rPr>
          <w:b/>
        </w:rPr>
        <w:t>E. 4.2.4</w:t>
      </w:r>
    </w:p>
    <w:p>
      <w:r>
        <w:t>Soweit die Vorinstanz die Prämienerhöhung in ihrem Einspracheentscheid mit der Erfahrung der Risikogemeinschaft und demnach mit einer Änderung des Risikos - respektive in ihrer Duplik mit einer erheblichen Veränderung der Verhältnisse - begründet, ist ihr entgegenzuhalten, dass laut Tarif das Risiko der Risikogemeinschaft Schule privat (ohne Sportschule) sowohl in der BUV als auch in der NBUV gleichgeblieben ist. Spezifische Tatsachen oder Verhältnisse, welche aufgrund einer wesentlichen Risikoänderung eine Erhöhung der Stufe (BUV) respektive der Unterklasse (NBUV) zu rechtfertigen vermöchten, werden von der Vorinstanz nicht substantiiert vorgebracht oder gar nachgewiesen und sind aus den Akten auch nicht ersichtlich. Die "Branchenerfahrung mit der Risikogemeinschaft" nach dem Vertragsschluss und die nachträgliche Prämienerhöhung sind damit nicht nachvollziehbar begründet und überdies auch nicht belegt. Die Neueinreihung erweist sich demnach als rechtswidrig (vgl. hierzu auch Urteil des BVGer C-1362/2016 vom 23. März 2017 E. 5.5.2). Unerheblich bleibt deshalb, dass in einem von Art. 92 Abs. 5 UVG erfassten Fall kein Kündigungsrecht vorliegen würde.</w:t>
      </w:r>
    </w:p>
    <w:p>
      <w:r>
        <w:rPr>
          <w:b/>
        </w:rPr>
        <w:t>E. 4.3.1</w:t>
      </w:r>
    </w:p>
    <w:p>
      <w:r>
        <w:t>Weiter rügte der Beschwerdeführer, aus dem Schreiben des BAG vom 26. Februar 2015 lasse sich für die vorliegende Streitsache nichts ableiten; dieses tauge nicht als Begründung für die angefochtene Prämienerhöhung. Selbst wenn das BAG die Vorinstanz angewiesen hätte, aussertariflich gewährte Rabatte zu korrigieren und tarifgemässe Durchschnittsprämien zu verlangen, könnte dies nicht als Grund für einen Verstoss gegen die Vertragstreue dienen. Es sei nicht Aufgabe des BAG, gesellschaftsindividuelle UVG-Prämientarife zu genehmigen.</w:t>
      </w:r>
    </w:p>
    <w:p>
      <w:r>
        <w:rPr>
          <w:b/>
        </w:rPr>
        <w:t>E. 4.3.2</w:t>
      </w:r>
    </w:p>
    <w:p>
      <w:r>
        <w:t>Die Vorinstanz machte dazu geltend, dieser Aussage des Beschwerdeführers müsse widersprochen werden. Das BAG habe die Vorinstanz in ihrem Schreiben vom 26. Februar 2015 aufgefordert, die Risikoprämien so festzulegen, dass sie den Nettoprämien der Risikoklasse entsprächen. Eine Anpassung sei vorliegend unumgänglich gewesen. Zudem sei der UVG-Tarif der C._______ sehr wohl von der Aufsichtsbehörde genehmigt worden.</w:t>
      </w:r>
    </w:p>
    <w:p>
      <w:r>
        <w:rPr>
          <w:b/>
        </w:rPr>
        <w:t>E. 4.3.3</w:t>
      </w:r>
    </w:p>
    <w:p>
      <w:r>
        <w:t>Im Schreiben des BAG wurde die Vorinstanz aufgefordert, die Nettoprämiensätze des Tarifs so festzulegen, dass keine systematische Querfinanzierung zwischen Risikoklassen entstehe. Soweit dieses Schreiben lesbar und nicht geschwärzt ist, ist ihm keine Anweisung zu entnehmen, die Einreihung des Beschwerdeführers und die entsprechenden Prämiensätze einseitig anzupassen.</w:t>
      </w:r>
    </w:p>
    <w:p>
      <w:r>
        <w:rPr>
          <w:b/>
        </w:rPr>
        <w:t>E. 4.4.1</w:t>
      </w:r>
    </w:p>
    <w:p>
      <w:r>
        <w:t>Weiter brachte der Beschwerdeführer vor, die Vorinstanz sei darauf zu behaften, dass sie beim Abschluss des Vertrages Preisnachlässe im Gewand von unter den Durchschnittswerten liegenden Stufen respektive Unterklassen festgelegt habe. Über die Gründe dieser aussertariflichen Rabatte schweige sich die Vorinstanz weitgehend aus.</w:t>
      </w:r>
    </w:p>
    <w:p>
      <w:r>
        <w:rPr>
          <w:b/>
        </w:rPr>
        <w:t>E. 4.4.2</w:t>
      </w:r>
    </w:p>
    <w:p>
      <w:r>
        <w:t>Die Vorinstanz wendete dagegen ein, sie sei berechtigt gewesen, eine Anpassung der Prämiensätze vorzunehmen. Der Beschwerdeführer sei vor 2016 unter den (Basis)-Endprämiensätzen für Berufs- und Nichtberufsunfälle der Risikogemeinschaft Schule privat (ohne Sportschule) gelegen. Diese Tatsache habe zur einer Angleichung der Endprämiensätze des Beschwerdeführers an die (Basis-)Endprämiensätze dieser Risikogemeinschaft berechtigt. Aus dem Umstand, dass die Vorinstanz den Beschwerdeführer bei Vertragsbeginn unterhalb der (Basis-)Endprämiensätze der Risikogemeinschaft Schule privat (ohne Sportschule) eingereiht habe, lasse sich kein unbefristeter Vertrauensschutz für die Zukunft ableiten.</w:t>
      </w:r>
    </w:p>
    <w:p>
      <w:r>
        <w:rPr>
          <w:b/>
        </w:rPr>
        <w:t>E. 4.4.3</w:t>
      </w:r>
    </w:p>
    <w:p>
      <w:r>
        <w:t>Betreffend die Ausführungen der Vorinstanz, es habe bei Vertragsbeginn eine Einreihung unterhalb der (Basis-)Endprämiensätze der Risikogemeinschaft stattgefunden und daraus lasse sich kein unbefristeter Vertrauensschutz ableiten, geht das Bundesverwaltungsgericht davon aus, dass die ursprüngliche Einreihung im Zeitpunkt des Vertragsabschlusses rechtskonform und unter Wahrung der einschlägigen Prinzipien der Gegenseitigkeit und Risikogerechtigkeit zustande gekommen ist. Ferner geht es davon aus, dass sie sich bei der ursprünglichen Einreihung - im Rahmen des ihr zustehenden grossen Ermessens - auf objektive Kriterien gestützt hat (vgl. dazu Urteil des BVGer C-1362/2016 vom 23. März 2017 E. 5.6). Konkrete Hinweise, welche auf eine ursprünglich fehlerhafte Einreihung schliessen liessen, sind auch aus den Akten nicht ersichtlich und werden von der Vorinstanz denn auch nicht substantiiert geltend gemacht. Konkrete Zahlen oder Daten, welche eine ursprünglich falsche Einreihung in der Risikogruppe Schule privat (ohne Sportschule) belegen würden und auf welche sich die Vorinstanz bei Notwendigkeit der Neueinreihung im konkreten Fall stützen könnte, sind ebenfalls keine aktenkundig. Damit hat die Vorinstanz nicht nachgewiesen, dass die Voraussetzungen für eine Neueinreihung im Sinne des Einspracheentscheids vom 23. Dezember 2015 (bzw. der Verfügung vom Oktober 2015) gegeben sind. Auf Art. 92 Abs. 5 UVG kann sich die Vorinstanz im Falle einer ursprünglichen Falscheinreihung nicht berufen, sondern nur bei einer - vorliegend nicht ausgewiesenen - notwendigen neuen Einreihung.</w:t>
      </w:r>
    </w:p>
    <w:p>
      <w:r>
        <w:rPr>
          <w:b/>
        </w:rPr>
        <w:t>E. 5</w:t>
      </w:r>
    </w:p>
    <w:p>
      <w:r>
        <w:t>Aufgrund der vorstehenden Erwägungen ist zusammenfassend festzuhalten, dass die Vorinstanz die Neueinreihung nicht nachvollziehbar begründet hat. Zudem wird die Verschlechterung des Risikos der Risikogemeinschaft zwar behauptet - einerseits nach Vertragsabschluss, andererseits schon bei Vertragsabschluss bestehend - aber nicht belegt. Deshalb kann sich die Vorinstanz bei der Neueinreihung auch nicht auf Buchstabe D ("Erfahrungstarifierung") Ziffer 1.2 des Tarifs stützen, wonach kleinere, nicht der Erfahrungstarifierung unterliegende Betriebe bei schlechtem Verlauf des betreffenden Versicherungszweigs saniert werden dürfen. Die Neueinreihung des Beschwerdeführers per 1. Januar 2016 ist insgesamt rechtswidrig. Die Voraussetzungen für eine einseitige Vertragsänderung liegen nicht vor. Der Einspracheentscheid ist damit ersatzlos aufzuheben. Bei diesem Ergebnis erübrigt sich eine nähere Prüfung der im Zusammenhang mit der Erhöhung der Prämienbestandteile (Verwaltungskostenzuschlag etc.) vorgebrachten Rüge. Festzuhalten bleibt, dass sich die Vorinstanz rechtsprechungsgemäss (BGE 131 V 431 E. 6) nicht auf Art. 113 Abs. 3 UVV beziehungsweise Art. 92 Abs. 5 UVG stützen kann, wenn sie die übrigen Prämienbestandteile erhöhen will. Schliesslich braucht mit Blick auf das vorliegende Ergebnis auch der vom Beschwerdeführer erhobene Vorwurf der Verletzung von Treu und Glauben im Sinne von Art. 9 der Bundesverfassung der Schweizerischen Eidgenossenschaft vom 18. April 1999 (BV; SR 101) nicht mehr geprüft zu werden (vgl. zum Ganzen auch Urteile des BVGer C-1362/2016 vom 23. März 2017 und C-1363/2016 vom 19. Juni 2017 E. 5.7/5.5 und 6).</w:t>
      </w:r>
    </w:p>
    <w:p>
      <w:r>
        <w:rPr>
          <w:b/>
        </w:rPr>
        <w:t>E. 6</w:t>
      </w:r>
    </w:p>
    <w:p>
      <w:r>
        <w:t>Zu befinden bleibt über die Verfahrenskosten und eine allfällige Parteientschädigung.</w:t>
      </w:r>
    </w:p>
    <w:p>
      <w:r>
        <w:rPr>
          <w:b/>
        </w:rPr>
        <w:t>E. 6.1</w:t>
      </w:r>
    </w:p>
    <w:p>
      <w:r>
        <w:t>Gemäss Art. 63 Abs. 1 VwVG sind die Verfahrenskosten der unterliegenden Partei aufzuerlegen. Infolge Gutheissung der Beschwerde sind dem Beschwerdeführer keine Verfahrenskosten aufzuerlegen. Der von ihm geleistete Kostenvorschuss in der Höhe von Fr. 1'500.- ist ihm nach Eintritt der Rechtskraft des vorliegenden Urteils auf ein von ihm bekannt zu gebendes Konto zurückzuerstatten. Der unterliegenden Vorinstanz sind keine Verfahrenskosten aufzuerlegen (vgl. Art. 63 Abs. 2 VwVG).</w:t>
      </w:r>
    </w:p>
    <w:p>
      <w:r>
        <w:rPr>
          <w:b/>
        </w:rPr>
        <w:t>E. 6.2</w:t>
      </w:r>
    </w:p>
    <w:p>
      <w:r>
        <w:t>Dem obsiegenden, anwaltlich vertretenen Beschwerdeführer ist gemäss Art. 64 Abs. 1 VwVG in Verbindung mit Art. 7 des Reglements vom 21. Februar 2008 über die Kosten und Entschädigungen vor dem Bundesverwaltungsgericht (VGKE, SR 173.320.2) eine Parteientschädigung zu Lasten der Vorinstanz zuzusprechen.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 auch mit Blick auf die in den sehr ähnlich gelagerten Beschwerdeverfahren C-1362/2016 und C-1363/2016 zugesprochene Parteientschädigung von je Fr. 4'000.- - im vorliegenden Verfahren auf insgesamt Fr. 2'000.- festzusetzen (vgl. Urteil C-1365/2016 vom 24. August 2017 E. 6.2). Der unterliegenden Vorinstanz ist keine Parteientschädigung zuzusprechen (Art. 64 Abs. 1 VwVG e contrario und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