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C-1365/2016 vom 24. August 2017</w:t>
      </w:r>
    </w:p>
    <w:p>
      <w:r>
        <w:t>Bundesverwaltungsgericht, 2017-08-24, DE</w:t>
      </w:r>
    </w:p>
    <w:p>
      <w:r>
        <w:rPr>
          <w:b/>
        </w:rPr>
        <w:t xml:space="preserve">Quelle: </w:t>
      </w:r>
      <w:r>
        <w:t>https://mcp.opencaselaw.ch/entscheid/bvger_C-1365_2016</w:t>
      </w:r>
    </w:p>
    <w:p>
      <w:r>
        <w:t>FR: TAF C-1365/2016 du 24 août 2017</w:t>
      </w:r>
    </w:p>
    <w:p>
      <w:r>
        <w:t>IT: TAF C-1365/2016 del 24 agosto 2017</w:t>
      </w:r>
    </w:p>
    <w:p>
      <w:pPr>
        <w:pStyle w:val="Heading2"/>
      </w:pPr>
      <w:r>
        <w:t>Regeste</w:t>
      </w:r>
    </w:p>
    <w:p>
      <w:r>
        <w:t>Zuteilung zu den Prämientarifen</w:t>
      </w:r>
    </w:p>
    <w:p>
      <w:pPr>
        <w:pStyle w:val="Heading2"/>
      </w:pPr>
      <w:r>
        <w:t>Erwägungen</w:t>
      </w:r>
    </w:p>
    <w:p>
      <w:r>
        <w:rPr>
          <w:b/>
        </w:rPr>
        <w:t>E. 1.1</w:t>
      </w:r>
    </w:p>
    <w:p>
      <w:r>
        <w:t>Gemäss Art. 31 VwVG beurteilt das Bundesverwaltungsgericht Beschwerden gegen Verfügungen nach Art. 5 VwVG, sofern keine Ausnahme nach Art. 32 VGG vorliegt. Als Vorinstanzen gelten die in Art. 33 VGG genannten Behörden. Die B._______ ist als zugelassene Unfallversicherung mit öffentlich-rechtlichen Aufgaben des Bundes betraut und als solche eine Vorinstanz im Sinne von Art. 33 Bst. h VGG.</w:t>
      </w:r>
    </w:p>
    <w:p>
      <w:r>
        <w:rPr>
          <w:b/>
        </w:rPr>
        <w:t>E. 1.2</w:t>
      </w:r>
    </w:p>
    <w:p>
      <w:r>
        <w:t>Die Zuständigkeit des Bundesverwaltungsgerichts zur Beurteilung von Beschwerden gegen Einspracheentscheide über die Zuteilung der Betriebe und der Versicherten zu den Klassen und Stufen der Prämientarife ist in Art. 109 Bst. b UVG ausdrücklich geregelt. Anfechtungsobjekt ist vorliegend der Einspracheentscheid der Vorinstanz vom 23. Dezember 2015, in welchem sie die Verfügung vom Oktober 2015 bestätigt, mit welcher die Beschwerdeführerin in neue Gefahrenklassen, Stufen und Unterklassen eingereiht und der Endprämiensatz neu festgesetzt wurde. Somit ist das Bundesverwaltungsgericht für die Beurteilung der Streitsache zuständig.</w:t>
      </w:r>
    </w:p>
    <w:p>
      <w:r>
        <w:rPr>
          <w:b/>
        </w:rPr>
        <w:t>E. 1.3</w:t>
      </w:r>
    </w:p>
    <w:p>
      <w:r>
        <w:t>Das Verfahren vor dem Bundesverwaltungsgericht richtet sich nach dem Verwaltungsverfahrensgesetz, soweit das Verwaltungsgerichtsgesetz nichts anderes bestimmt (Art. 37 VGG). Vorbehalten bleiben gemäss Art. 3 Bst. dbis VwVG die besonderen Bestimmungen des Bundesgesetzes vom 6. Oktober 2000 über den Allgemeinen Teil des Sozialversicherungsrechts (ATSG, SR 830.1).</w:t>
      </w:r>
    </w:p>
    <w:p>
      <w:r>
        <w:rPr>
          <w:b/>
        </w:rPr>
        <w:t>E. 1.4</w:t>
      </w:r>
    </w:p>
    <w:p>
      <w:r>
        <w:t>Die Beschwerdeführerin hat am vorinstanzlichen Verfahren teilgenommen, ist als Adressatin durch den angefochtenen Einspracheentscheid vom 23. Dezember 2015 in besonderer Weise berührt und hat an dessen Aufhebung oder Änderung ein schutzwürdiges Interesse (Art. 48 Abs. 1 VwVG; vgl. auch Art. 59 ATSG). Sie ist deshalb zur Beschwerde legitimiert.</w:t>
      </w:r>
    </w:p>
    <w:p>
      <w:r>
        <w:rPr>
          <w:b/>
        </w:rPr>
        <w:t>E. 1.5.1</w:t>
      </w:r>
    </w:p>
    <w:p>
      <w:r>
        <w:t>Die Beschwerde wurde frist- und formgerecht eingereicht (Art. 50 Abs. 1 i.V.m. Art. 21 Abs. 2 und 22a Abs. 1 Bst. c VwVG; vgl. auch Art. 60 Abs. 1 und Abs. 2 i.V.m. Art. 38 Abs. 4 Bst. c und 39 Abs. 2 ATSG). Da auch der Kostenvorschuss von Fr. 1'200.- rechtzeitig überwiesen wurde, ist auf die Beschwerde grundsätzlich einzutreten.</w:t>
      </w:r>
    </w:p>
    <w:p>
      <w:r>
        <w:rPr>
          <w:b/>
        </w:rPr>
        <w:t>E. 1.5.2</w:t>
      </w:r>
    </w:p>
    <w:p>
      <w:r>
        <w:t>Im Bereich der Prämientarife besteht die Überprüfungsbefugnis des Bundesverwaltungsgerichts einerseits darin, die richtige Anwendung des Tarifs zu kontrollieren; andererseits kann es im Rahmen der konkreten Normenkontrolle die der Verfügung zu Grunde liegenden Tarifpositionen auf ihre Gesetz- und Verfassungsmässigkeit überprüfen (vgl. E. 1.2 hiervor). Was die konkrete Festsetzung der Prämie und die Verletzung von Vertragsrecht betrifft, ist das Bundesverwaltungsgericht für die Behandlung dieser Rügen nicht zuständig, weshalb diesbezüglich nicht auf die Beschwerde einzutreten ist (vgl. Urteile des BVGer C-1362/2016 vom 23. März 2017 E. 1.2 und C-1363/2016 vom 19. Juni 2017 E. 1.2 mit Hinweis auf Urteil des BGer U 18/03 vom 20. November 2003 E. 4.3.2).</w:t>
      </w:r>
    </w:p>
    <w:p>
      <w:r>
        <w:rPr>
          <w:b/>
        </w:rPr>
        <w:t>E. 1.6</w:t>
      </w:r>
    </w:p>
    <w:p>
      <w:r>
        <w:t>Anfechtungs- und Streitgegenstand bildet demnach die Neueinreihung in den Prämientarif. Aufgrund der Ausführungen der Beschwerdeführerin ist streitig und zu prüfen, ob für die Neueinreihung und der damit verbundenen Prämienerhöhung ausreichende und nachvollziehbare Gründe vorliegen resp. ob die Vorinstanz die Notwendigkeit und das Ausmass der Prämienerhöhung in rechtsgenüglicher Weise nachgewiesen hat. Nicht streitig und nicht zu prüfen ist die vertragliche Regelung, wonach dem Versicherten im Falle einer Kündigung nach Art. 92 Abs. 5 UVG kein Kündigungsrecht vor Vertragsablauf zusteht (vgl. zur Abgrenzung E. 1.5.2 hiervor).</w:t>
      </w:r>
    </w:p>
    <w:p>
      <w:r>
        <w:rPr>
          <w:b/>
        </w:rPr>
        <w:t>E. 1.7</w:t>
      </w:r>
    </w:p>
    <w:p>
      <w:r>
        <w:t>Die Beschwerdeführenden können im Rahmen des Beschwerdeverfahrens die Verletzung von Bundesrecht unter Einschluss des Missbrauchs oder der Überschreitung des Ermessens, die unrichtige oder unvollständige Feststellung des rechtserheblichen Sachverhalts sowie die Unangemessenheit des Entscheides beanstanden (Art. 49 VwVG). Nach der Rechtsprechung hat auch eine Rechtsmittelbehörde, der volle Kognition zusteht, in Ermessensfragen einen Entscheidungsspielraum der Vorinstanz zu respektieren. Sie hat eine unangemessene Entscheidung zu korrigieren, kann aber der Vorinstanz die Wahl unter mehreren angemessenen Lösungen überlassen (BGE 133 II 35 E. 3). Das Bundesverwaltungsgericht hat daher nur den Entscheid der unteren Instanz zu überprüfen und sich nicht an deren Stelle zu setzen (vgl. BGE 126 V 75 E. 6). Insbesondere dann, wenn die Ermessensausübung, die Anwendung unbestimmter Rechtsbegriffe oder die Sachverhaltswürdigung hochstehende, spezialisierte technische, wissenschaftliche oder wirtschaftliche Kenntnisse erfordert, ist eine Zurückhaltung des Gerichts bei der Überprüfung vorinstanzlicher Bewertungen angezeigt (vgl. BGE 135 II 296 E. 4.4.3; 133 II 35 E. 3; 128 V 159 E. 3b/cc). Es stellt daher keine unzulässige Kognitionsbeschränkung dar, wenn das Gericht das nicht als Fachgericht ausgestaltet ist nicht ohne Not von der Auffassung der Vorinstanz abweicht, soweit es um die Beurteilung technischer, wirtschaftlicher oder wissenschaftlicher Spezialfragen geht, in denen die Vorinstanz über ein besonderes Fachwissen verfügt (vgl. BGE 135 II 296 E. 4.4.3; 133 II 35 E. 3 mit Hinweisen; siehe zum Ganzen auch YVO HANGARTNER, Behördenrechtliche Kognitionsbeschränkungen in der Verwaltungsrechtspflege, in: Bovay/Nguyen [Hrsg.], Mélanges en l'honneur de Pierre Moor, 2005, S. 319 ff.; FELLER/MÜLLER, Die Prüfungszuständigkeit des Bundesverwaltungsgerichts - Probleme in der praktischen Umsetzung, Schweizerisches Zentralblatt für Staats- und Verwaltungsrecht [ZBl] 110/2009 S. 442 ff.). Dies gilt jedenfalls insoweit, als die Vorinstanz die für den Entscheid wesentlichen Gesichtspunkte geprüft und die erforderlichen Abklärungen sorgfältig und umfassend durchgeführt hat (BGE 139 II 185 E. 9.3; BGE 138 II 77 E. 6.4). Das Bundesverwaltungsgericht überprüft ansonsten den angefochtenen Entscheid frei, dies unter Berücksichtigung der vorgebrachten Rügen. Die Beschwerdeinstanz hat mithin nicht zu untersuchen, ob sich die angefochtene Verfügung unter schlechthin allen in Frage kommenden Aspekten als korrekt erweist, sondern untersucht im Prinzip nur die vorgebrachten Beanstandungen. Von den Verfahrensbeteiligten nicht aufgeworfene Rechtsfragen werden nur geprüft, wenn hierzu aufgrund der Parteivorbringen oder anderer sich aus den Akten ergebender Anhaltspunkte hinreichender Anlass besteht (BGE 119 V 347 E. 1a; Alexandra Rumo-Jungo, Rechtsprechung des Bundesgerichts zum Sozialversicherungsrecht, Bundesgesetz über die Unfallversicherung, 3. Aufl., Zürich 2003, S. 348).</w:t>
      </w:r>
    </w:p>
    <w:p>
      <w:r>
        <w:rPr>
          <w:b/>
        </w:rPr>
        <w:t>E. 2</w:t>
      </w:r>
    </w:p>
    <w:p>
      <w:r>
        <w:t>Zunächst sind die für die Einreihung von Betrieben wichtigsten gesetzlichen Bestimmungen, massgebenden Grundsätze sowie die massgeblichen Tarifbestimmungen wiederzugeben.</w:t>
      </w:r>
    </w:p>
    <w:p>
      <w:r>
        <w:rPr>
          <w:b/>
        </w:rPr>
        <w:t>E. 2.1</w:t>
      </w:r>
    </w:p>
    <w:p>
      <w:r>
        <w:t>Für die Durchführung der Unfallversicherung sind einheitliche Rechnungsgrundlagen zu verwenden. Der Bundesrat erlässt Richtlinien (Art. 89 Abs. 1 UVG).</w:t>
      </w:r>
    </w:p>
    <w:p>
      <w:r>
        <w:rPr>
          <w:b/>
        </w:rPr>
        <w:t>E. 2.2</w:t>
      </w:r>
    </w:p>
    <w:p>
      <w:r>
        <w:t>Gemäss Art. 92 Abs. 1 UVG werden die Prämien von den Versicherern in Promillen des versicherten Verdienstes festgesetzt. Sie bestehen aus einer dem Risiko entsprechenden Nettoprämie und aus Zuschlägen für die Verwaltungskosten, für die Kosten der Verhütung von Unfällen und Berufskrankheiten und für die nicht durch Zinsüberschüsse gedeckten Teuerungszulagen. Die Versicherer können für die beiden obligatorischen Versicherungszweige je eine vom jeweiligen Risiko unabhängige Minimalprämie erheben; der Bundesrat legt die Höchstgrenze der Minimalprämie fest. Laut Art. 92 Abs. 2 UVG werden für die Bemessung der Prämien in der Berufsunfallversicherung die Betriebe nach ihrer Art und ihren Verhältnissen in Klassen des Prämientarifs und innerhalb dieser in Stufen eingereiht. Massgebend sind dabei insbesondere die Unfallgefahr und der Stand der Unfallverhütung. Aufgrund der Risikoerfahrungen kann der Versicherer von sich aus oder auf Antrag von Betriebsinhabern die Zuteilung bestimmter Betriebe zu den Klassen und Stufen des Prämientarifs jeweils auf den Beginn des Rechnungsjahres ändern (Art. 92 Abs. 5 UVG). Für die Bemessung der Prämien in der Nichtberufsunfallversicherung können Tarifklassen gebildet werden. Die Prämien dürfen nicht nach dem Geschlecht der versicherten Personen abgestuft werden (Art. 92 Abs. 6 UVG).</w:t>
      </w:r>
    </w:p>
    <w:p>
      <w:r>
        <w:rPr>
          <w:b/>
        </w:rPr>
        <w:t>E. 2.3</w:t>
      </w:r>
    </w:p>
    <w:p>
      <w:r>
        <w:t>Die Prämienzuschläge für Verwaltungskosten dienen der Deckung der ordentlichen Aufwendungen, die den Versicherern aus der Durchführung der Unfallversicherung erwachsen, einschliesslich der nicht der Heilbehandlung dienenden Aufwendungen für Dienstleistungen Dritter wie Rechts-, Beratungs- und Begutachtungskosten (Art. 92 Abs. 7 UVG; Art. 114 Abs. 1 UVV). Gemäss Art. 115 Abs. 1 UVV werden die Prämien - unter Vorbehalt der in den Bst. a bis d genannten Abweichungen - auf dem versicherten Verdienst im Sinne von Art. 22 Abs. 1 und 2 UVV erhoben.</w:t>
      </w:r>
    </w:p>
    <w:p>
      <w:r>
        <w:rPr>
          <w:b/>
        </w:rPr>
        <w:t>E. 2.4</w:t>
      </w:r>
    </w:p>
    <w:p>
      <w:r>
        <w:t>Die Betriebe oder Betriebsteile sind so in Klassen und Stufen des Prämientarifs einzureihen, dass die Kosten der Berufsunfälle und Berufskrankheiten einer Risikogemeinschaft voraussichtlich aus den Nettoprämien bestritten werden können (Art. 113 Abs. 1 UVV). Die Betriebe oder Betriebsteile sind folglich nach Massgabe ihres Risikos in die Klassen und Stufen des Prämientarifs einzuteilen (Grundsatz der risikogerechten Prämien).</w:t>
      </w:r>
    </w:p>
    <w:p>
      <w:r>
        <w:rPr>
          <w:b/>
        </w:rPr>
        <w:t>E. 2.5</w:t>
      </w:r>
    </w:p>
    <w:p>
      <w:r>
        <w:t>Bei der Prämienbemessung ist weiter das in Art. 61 Abs. 2 UVG vorgesehene Prinzip der Gegenseitigkeit zu berücksichtigen. Dieses Prinzip verlangt, dass die Suva und die weiteren an der obligatorischen Unfallversicherung beteiligten Versicherer einerseits keine Gewinne aus dem Versicherungsgeschäft erzielt, andererseits finanziell autonom sein soll. Neben diesen im Gesetz explizit geregelten Prinzipien müssen sich die Versicherer bei der Aufstellung der Tarife an die allgemeinen Grundsätze halten, welche aus dem Sozialversicherungsrecht des Bundes, dem Verwaltungsrecht und der Bundesverfassung fliessen. Unter die allgemeinen Prinzipien, welche bei der Tarifgestaltung zu berücksichtigen sind, fällt namentlich der Grundsatz der Solidarität. Demnach muss das Unfallrisiko durch eine grosse Zahl von Versicherten getragen werden (BGE 112 V 316 E. 5c). In eine ähnliche Richtung geht das Versicherungsprinzip, wonach das Risiko durch eine Mehrzahl von Versicherten zu tragen ist. Weiter ist der Grundsatz der Verwaltungsökonomie zu beachten (Urteile des BVGer C-541/2011 vom 16. Mai 2013 E. 2.3 und C-539/2009 vom 20. August 2012 E. 3.4.1 mit Hinweisen), sollen doch die Prämieneinnahmen nicht durch übermässige Verwaltungsaufwendungen geschmälert werden.</w:t>
      </w:r>
    </w:p>
    <w:p>
      <w:r>
        <w:rPr>
          <w:b/>
        </w:rPr>
        <w:t>E. 2.6</w:t>
      </w:r>
    </w:p>
    <w:p>
      <w:r>
        <w:t>Das Prinzip der Solidarität und jenes der Risikogerechtigkeit sind einander entgegengesetzt. Grösstmögliche Solidarität wäre durch eine für alle Betriebe geltende Einheitsprämie zu erreichen, während grösstmögliche Risikogerechtigkeit eine für jeden Betrieb individuell bestimmte Prämie bedingen würde. Die Ausgestaltung des Prämientarifs hat sich zwischen diesen zwei Polen zu bewegen. Aus dem Gegensatz dieser zwei Grund-sätze fliesst denn auch, dass das Gleichbehandlungsgebot nicht zur Folge haben kann, dass für jeden einzelnen Betrieb ein individueller Risikosatz bestimmt wird; es fliessen zwangsläufig Faktoren anderer nicht identischer Betriebe für die Einreihung mit ein, sei dies im Rahmen der Zuteilung zu den Klassen oder bei der Berücksichtigung von Vergleichswerten (BVGE 2007/27 E. 5.6).</w:t>
      </w:r>
    </w:p>
    <w:p>
      <w:r>
        <w:rPr>
          <w:b/>
        </w:rPr>
        <w:t>E. 2.7</w:t>
      </w:r>
    </w:p>
    <w:p>
      <w:r>
        <w:t>Ein Prämientarif hat sodann den Grundsätzen der Verfassung zu entsprechen, insbesondere dem Prinzip der Gleichbehandlung (Art. 8 BV) und dem Willkürverbot (Art. 9 BV). Nach ständiger Rechtsprechung ist der Grundsatz der rechtsgleichen Behandlung verletzt, wenn rechtliche Unterscheidungen getroffen werden, für die ein vernünftiger Grund in den zu regelnden Verhältnissen nicht ersichtlich ist, oder wenn Unterscheidungen unterlassen werden, welche sich aufgrund der Verhältnisse aufdrängen. Die Rechtsgleichheit wird insbesondere dann verletzt, wenn Gleiches nicht nach Massgabe seiner Gleichheit gleich oder Ungleiches nicht nach Massgabe seiner Ungleichheit ungleich behandelt wird. Vorausgesetzt ist, dass sich die ungerechtfertigte Gleich- bzw. Ungleichbehandlung auf eine wesentliche Tatsache bezieht (BGE 131 V 107 E. 3.4.2). Willkürlich ist eine Bestimmung, wenn sie sich nicht auf ernsthafte Gründe stützen lässt oder wenn sie sinn- oder zwecklos ist (BGE 132 I 157 E. 4.1; siehe auch BGE 133 V 42 E. 3.1 mit Hinweisen). Das Bundesgericht (vormals Eidg. Versicherungsgericht EVG) hat im Übrigen festgestellt, dass im Bereich der Prämientarifgestaltung das Gleichbehandlungsgebot und das Prinzip der Risikogerechtigkeit deckungsgleich sind (vgl. RKUV 1998 Nr. U 294 S. 228 E. 1c). Lässt sich also für eine Betriebsart oder einen Betrieb ein gegenüber anderen Betriebsarten unterschiedliches Risiko feststellen, so gebietet dieser Unterschied, diese Betriebsart ungleich zu behandeln. Bei gleichen Verhältnissen müssen auch gleiche Leistungen beziehungsweise Prämien resultieren (BGE 112 V 291 E. 3b mit Hinweisen), wobei unter Gleichheit nicht Identität zu verstehen ist.</w:t>
      </w:r>
    </w:p>
    <w:p>
      <w:r>
        <w:rPr>
          <w:b/>
        </w:rPr>
        <w:t>E. 2.8</w:t>
      </w:r>
    </w:p>
    <w:p>
      <w:r>
        <w:t>Laut dem hier anwendbaren Prämientarif der C._______, gültig ab dem 1. Januar 2016 (act. 15) werden die Betriebe sowohl in der BUV als auch in der NBUV in Gefahrenklassen des Tarifs eingereiht. In der BUV erfolgt alsdann eine Einreihung in Gefahrenstufen, in der NBUV eine Einreihung in Unterklassen. Eine nachträgliche höhere Einstufung in eine andere Gefahrenstufe ist bei Kleinbetrieben (ohne Erfahrungstarifierung) in der BUV und in der NBUV aufgrund von Sanierungen möglich (S. 4, 5). In Bst. C (Prämientarif; S. 9 ff.) wird die Berechnung der Prämiensätze in der BUV und der NBUV (BU/NBU-Klassen, Nettoprämiensätze, Verwaltungskostenzusätze, Bruttoprämiensätze, Unfallverhütungsbeiträge, Prämienzuschlä-ge für Teuerungszulagen und Endprämiensätze) beschrieben. Laut Bst. D (S. 15 f.) können Kleinbetriebe bei schlechtem Verlauf des Versicherungszweigs saniert, d.h. in eine BU-Stufe bzw. eine NBU-Unterklasse höher als 10 eingereiht werden. Dabei wird empfohlen, die nachstehenden Regeln anzuwenden. Weiter wird in Bst. D unter anderem der Rhythmus der Erfahrungstarifierung, die Beobachtungsperiode und die Kalkulation beschreiben (S. 16 f.). Im Anhang zum Tarif werden u. a. fiktive Berechnungsbeispiele dargestellt (S. 18 f.). Für die Beschwerdeführerin als Kleinbetrieb kommt die unter dem Bst. D beschriebene Erfahrungstarifierung nicht zur Anwendung, da die entsprechend beschriebenen Limiten nicht erreicht wurden.</w:t>
      </w:r>
    </w:p>
    <w:p>
      <w:r>
        <w:rPr>
          <w:b/>
        </w:rPr>
        <w:t>E. 3</w:t>
      </w:r>
    </w:p>
    <w:p>
      <w:r>
        <w:t>Betreffend die von der Beschwerdeführerin geltend gemachte Nichtigkeit des angefochtenen Einspracheentscheids vom 23. Dezember 2015 zufolge unzulänglicher Begründung ist festzuhalten, dass Nichtigkeit nur unter ganz bestimmten eng umschriebenen Vorrausetzungen anzunehmen ist. Nach ständiger Rechtsprechung ist eine fehlerhafte Verfügung nach Art. 5 Abs. 1 VwVG nur ausnahmsweise nichtig, wenn der Mangel besonders schwer und offensichtlich oder zumindest leicht erkennbar ist; zudem darf die Rechtssicherheit durch die Annahme der Nichtigkeit nicht ernsthaft gefährdet sein. Als Nichtigkeitsgründe fallen vorab die funktionelle und sachliche Unzuständigkeit der entscheidenden Behörde sowie krasse Verfahrensfehler in Betracht. Nur ausserordentlich schwerwiegende inhaltliche Mängel führen zur Nichtigkeit (BGE 138 III 49 E. 4.4.3 S. 56; Urteil des BGer 9C_320/2014 vom 29. Januar 2015 E. 4.1 mit Hinweisen). Als nichtig wäre namentlich eine Verfügung anzusehen, die einen unmöglichen Inhalt hat, bei der die Fehlerhaftigkeit an ihr selbst zum Ausdruck kommt, bei tatsächlicher Unmöglichkeit des Vollzugs oder wenn sie unklar oder unbestimmt ist (Urteil des BGer 5P.178/2003 vom 2. Juni 2003 E. 3.2). Eine unzureichende Begründung der Verfügung stellt aber keinen Nichtigkeitsgrund dar (vgl. Urteil des BGer 2A.61/2006 vom 2. März 2006 E. 2.2, Urteil des BVGer C-7527/2014 vom 12. August 2015 E. 2.2). Die mangelnde explizite Aufteilung der Prämienbestandteile und die fehlende Begründung für die Erhöhung führen demnach nicht zur Nichtigkeit des angefochtenen Einspracheentscheids vom 23. Dezember 2015.</w:t>
      </w:r>
    </w:p>
    <w:p>
      <w:r>
        <w:rPr>
          <w:b/>
        </w:rPr>
        <w:t>E. 4.1</w:t>
      </w:r>
    </w:p>
    <w:p>
      <w:r>
        <w:t>Am 1. Januar 2016 setzte die C._______ einen neuen Tarif in Kraft (act. 15) und ersetzte damit ihren Tarif vom 1. Januar 2014 (act. 9). Im neuen Tarif wurde der Kolonialwaren-Detailhandel neu in die Gefahrenklasse 190 für BU und 396 für NBU eingeteilt (act. 17). Die Vorinstanz übernahm die durch die C._______ erfolgte Einreihung des Beschwerdeführers in die Gefahrenklassen. Gleichzeitig per 1. Januar 2016 hat die Vorinstanz den Betrieb neu in die Stufe 10 für BU und in die Unterklasse 10 für NBU - dem Durchschnittswert - eingereiht. Es erfolgten somit neu ab dem 1. Januar 2016 Erhöhungen in der BUV um 7 Stufen und in der NBUV 1 Unterklasse, was eine massive Erhöhung des Prämiensatzes zur Folge hatte.</w:t>
      </w:r>
    </w:p>
    <w:p>
      <w:r>
        <w:rPr>
          <w:b/>
        </w:rPr>
        <w:t>E. 4.2.1</w:t>
      </w:r>
    </w:p>
    <w:p>
      <w:r>
        <w:t>Die Vorinstanz begründete diese Erhöhung in der Verfügung mit der gestiegenen Lebenserwartung und mit der Zunahme der Behandlungskosten (act. 12). In ihrem Einspracheentscheid (act. 14) begründet sie die Erhöhung mit dem neuen Tarif und mit der Erfahrung der Risikogemeinschaft (die Beschwerdeführerin ist ein Kleinbetrieb) und damit, dass die Zahl und die Kosten der Unfälle Zufallsschwankungen unterworfen seien, weshalb für die Ermittlung des mutmasslichen künftigen Risikos der Mehrzahl der Betriebe zwangsläufig weitgehend auf die Erfahrungen mit der Gesamtheit der in der Risikogemeinschaft zusammengefassten Risikoeinheiten abgestellt werden müsse. Als weiteren Grund für die Erhöhung führte die Vor-instanz an, ohne eine solche wären die Prämien für allfällige zukünftige Leistungen nicht mehr kostendeckend gewesen (vgl. Ziffern 10 bis 12 des Einspracheentscheides). In der Vernehmlassung und in der Duplik verwies die Vorinstanz erneut auf den neuen Tarif der C._______ (act. 15) sowie auf ein Schreiben des BAG vom 26. Februar 2015 (act. 11), welche beide Anlass geboten hätten, die Prämiensätze aller bei ihr versicherten Betriebe zu überprüfen, anzupassen und auch mit den Anforderungen des BAG in Einklang zu bringen (B-act. 12 Ziffer 11 und 12; B-act. 17 Ziff. 8). Die Überprüfung habe ergeben, dass der ursprüngliche Einreihungsentscheid einer Änderung bedurft habe. In diesem Sinne seien auch die Voraussetzungen einer Wiedererwägung vorliegend gegeben. Eine Anpassung der Prämiensätze an die Risikogemeinschaft sei notwendig und somit zulässig gewesen (B-act. 17 Ziffer 9, 13 und 16). Schliesslich machte die Vorinstanz auch in der Duplik vom 14. September 2016 noch geltend, die Prämienerhöhung sei - unter Geltendmachung der clausula rebus sic stantibus - auf den neuen Tarif zurückzuführen (B-act. 17 Ziffer 18).</w:t>
      </w:r>
    </w:p>
    <w:p>
      <w:r>
        <w:rPr>
          <w:b/>
        </w:rPr>
        <w:t>E. 4.2.2</w:t>
      </w:r>
    </w:p>
    <w:p>
      <w:r>
        <w:t>Die Beschwerdeführerin liess geltend machen, die Erhöhung der Prämie lasse sich nicht mit der Einführung des neuen Tarifs der C._______ und mit der gestiegenen Lebenserwartung sowie der Zunahme der Behandlungskosten der Risikogemeinschaft begründen. Die behaupteten höheren Schadenaufwendungen hätten sich im Tarif der Risikogemeinschaft, welcher die Beschwerdeführerin zugeteilt worden sei, niederschlagen müssen, was eben nicht der Fall gewesen sei. Vielmehr treffe das Gegenteil zu: Die NBU-Tarifprämie für die Risikoklasse der Kolonialwaren-Detailhandelsbetriebe sei im neuen Tarif 2016 im Vergleich zum alten Tarif 2014 tiefer angesetzt worden. Schliesslich liess die Beschwerdeführerin ausführen, für sie als Kleinbetrieb falle zwar unbestrittenermassen eine Erfahrungstarifierung ausser Betracht, sodass im Grundsatz auf den Durchschnittswert der entsprechenden Risikogemeinschaft abzustellen sei. Dieser werde durch die Stufe respektive Unterklasse 10 repräsentiert. Der bisherige ausgezeichnete Schadenverlauf vermöge infolgedessen an sich keine Rolle zu spielen (BVGer act. 9 S. 10 und 11 und act. 15 S. 10 und 13; B-act. 15 Ziffer 5).</w:t>
      </w:r>
    </w:p>
    <w:p>
      <w:r>
        <w:rPr>
          <w:b/>
        </w:rPr>
        <w:t>E. 4.2.3</w:t>
      </w:r>
    </w:p>
    <w:p>
      <w:r>
        <w:t>Den Akten ist zu entnehmen, dass die Beschwerdeführerin in der Gefahrenklassifikation des Tarifs neuen Nummern (190 in der BUV [vorher 019], 396 in der NBUV [vorher 013]) zugeteilt wurde (act. 12). Der Endprämiensatz in der BUV veränderte sich nicht und blieb auf 6.50 perthousand in der Stufe 10 (act. 10 und 16). Der Endprämiensatz in der NBUV verminderte sich von 18.63 perthousand auf 17.68 perthousand in der Unterklasse 10 (act. 9 und 15 [S. 11 und 12]; der in act. 10 ausgewiesene Satz von 17.68 perthousand bezieht sich auf die Unterklasse 9 [vgl. auch B-act. 17 S. 4 Ziffer 10.]). Inwieweit sich die Vor-instanz unter diesen Umständen bei der Neueinreihung, verbunden mit einer massiven Prämienerhöhung, auf den Tarif berufen will, kann deshalb nicht rechtsgenüglich nachvollzogen werden. In den Akten finden sich schliesslich auch keine Hinweise dafür, dass sich die von der Vorinstanz geltend gemachte gestiegene Lebenserwartung oder die geltend gemachte Zunahme der Behandlungskosten im Prämientarif der C._______ in der Risikogemeinschaft Kolonialwaren-Detailhandelsbetriebe niedergeschlagen hätte. Insgesamt lässt sich die Neueinreihung bzw. die Prämienerhöhung gestützt auf die clausula rebus sic stantibus nicht mit dem neuen Tarif begründen resp. ist die Prämienerhöhung nicht rechtsgenüglich nachvollziehbar.</w:t>
      </w:r>
    </w:p>
    <w:p>
      <w:r>
        <w:rPr>
          <w:b/>
        </w:rPr>
        <w:t>E. 4.2.4</w:t>
      </w:r>
    </w:p>
    <w:p>
      <w:r>
        <w:t>Soweit die Vorinstanz die Prämienerhöhung in ihrem Einspracheentscheid mit der Erfahrung der Risikogemeinschaft und demnach mit einer Änderung des Risikos - respektive in ihrer Duplik mit einer erheblichen Veränderung der Verhältnisse - begründet, ist ihr entgegen zu halten, dass laut Tarif das Risiko der Risikogemeinschaft Kolonialwaren-Detailhandelsbetriebe" in der BUV gleichgeblieben und in der NBUV gar gesunken ist (vgl. E. 5.2.3 hiervor). Spezifische Tatsachen oder Verhältnisse, welche aufgrund einer wesentlichen Risikoänderung eine Erhöhung der Stufe (BUV) respektive der Unterklasse (NBUV) zu rechtfertigen vermöchten, werden von der Vorinstanz nicht substantiiert vorgebracht oder gar nachgewiesen und sind aus den Akten auch nicht ersichtlich. Die "Branchenerfahrung mit der Risikogemeinschaft" nach dem Vertragsschluss und die nachträgliche Prämienerhöhung sind damit nicht nachvollziehbar begründet und überdies auch nicht belegt. Die Neueinreihung erweist sich demnach als rechtswidrig (vgl. hierzu auch Urteil des BVGer C-1362/2016 E. 5.5.2). Unerheblich bleibt deshalb, dass in einem von Art. 92 Abs. 5 UVG erfassten Fall kein Kündigungsrecht vorliegen würde.</w:t>
      </w:r>
    </w:p>
    <w:p>
      <w:r>
        <w:rPr>
          <w:b/>
        </w:rPr>
        <w:t>E. 4.3.1</w:t>
      </w:r>
    </w:p>
    <w:p>
      <w:r>
        <w:t>Weiter liess die Beschwerdeführerin rügen, aus dem Schreiben des BAG vom 26. Februar 2015 (act. 11) lasse sich für die vorliegende Streitsache nichts ableiten; dieses tauge nicht als Begründung für die angefochtene Prämienerhöhung. Selbst wenn das BAG die Vorinstanz angewiesen hätte, aussertariflich gewährte Rabatte zu korrigieren und tarifgemässe Durchschnittsprämien zu verlangen, könnte dies nicht als Grund für einen Verstoss gegen die Vertragstreue dienen. Es sei nicht Aufgabe des BAG, gesellschaftsindividuelle UVG-Prämientarife zu genehmigen (B-act. 15).</w:t>
      </w:r>
    </w:p>
    <w:p>
      <w:r>
        <w:rPr>
          <w:b/>
        </w:rPr>
        <w:t>E. 4.3.2</w:t>
      </w:r>
    </w:p>
    <w:p>
      <w:r>
        <w:t>Die Vorinstanz macht dazu geltend, dieser Aussage der Beschwerdeführerin müsse widersprochen werden. Das BAG habe die Vorinstanz in ihrem Schreiben vom 26. Februar 2015 aufgefordert, die Risikoprämeine so festzulegen, dass sie den Nettoprämien der Risikoklasse entsprächen. Eine Anpassung sei vorliegend unumgänglich gewesen. Zudem sei der UVG-Tarif der C._______ sehr wohl von der Aufsichtsbehörde genehmigt worden (B-act. 17 Ziff. 20 und 22).</w:t>
      </w:r>
    </w:p>
    <w:p>
      <w:r>
        <w:rPr>
          <w:b/>
        </w:rPr>
        <w:t>E. 4.3.3</w:t>
      </w:r>
    </w:p>
    <w:p>
      <w:r>
        <w:t>Im Schreiben des BAG wurde die Vorinstanz aufgefordert, die Nettoprämiensätze des Tarifs so festzulegen, dass keine systematische Querfinanzierung zwischen Risikoklassen entstehe (act. 11). Soweit dieses Schreiben lesbar und nicht geschwärzt ist, ist ihm keine Anweisung zu entnehmen, die Einreihung der Beschwerdeführerin und die entsprechenden Prämiensätze einseitig anzupassen.</w:t>
      </w:r>
    </w:p>
    <w:p>
      <w:r>
        <w:rPr>
          <w:b/>
        </w:rPr>
        <w:t>E. 4.4.1</w:t>
      </w:r>
    </w:p>
    <w:p>
      <w:r>
        <w:t>Weiter liess die Beschwerdeführerin vorbringen, die Vorinstanz sei darauf zu behaften, dass sie beim Abschluss des Vertrages Preisnachlässe im Gewand von unter den Durchschnittswerten liegenden Stufen respektive Unterklassen festgelegt habe. Über die Gründe dieser aussertariflichen Rabatte schweige sich die Vorinstanz weitgehend aus (B-act. 15 Ziff. 5).</w:t>
      </w:r>
    </w:p>
    <w:p>
      <w:r>
        <w:rPr>
          <w:b/>
        </w:rPr>
        <w:t>E. 4.4.2</w:t>
      </w:r>
    </w:p>
    <w:p>
      <w:r>
        <w:t>Die Vorinstanz wendet dagegen ein, sie sei berechtigt gewesen, eine Anpassung der Prämiensätze vorzunehmen. Die Beschwerdeführerin sei vor 2016 unter den (Basis)-Endprämiensätzen für Berufs- und Nichtberufsunfälle der Risikogemeinschaft der Kolonialwaren-Detailhandelsbetriebe gelegen. Diese Tatsache habe zur einer Angleichung der Endprämiensätze der Beschwerdeführerin an die (Basis-)Endprämiensätze dieser Risikogemeinschaft berechtigt. Aus dem Umstand, dass die Vorinstanz die Beschwerdeführerin bei Vertragsbeginn unterhalb der (Basis-)Endprämiensätze der Risikogemeinschaft der Kolonialwaren-Detailhandelsbetriebe eingereiht habe, lasse sich kein unbefristeter Vertrauensschutz für die Zukunft ableiten.</w:t>
      </w:r>
    </w:p>
    <w:p>
      <w:r>
        <w:rPr>
          <w:b/>
        </w:rPr>
        <w:t>E. 4.4.3</w:t>
      </w:r>
    </w:p>
    <w:p>
      <w:r>
        <w:t>Betreffend die Ausführungen der Vorinstanz, es habe bei Vertragsbeginn eine Einreihung unterhalb der (Basis-)Endprämiensätze der Risikogemeinschaft der Kolonialwaren-Detailhandelsbetriebe stattgefunden und daraus lasse sich kein unbefristeter Vertrauensschutz ableiten, geht das Bundesverwaltungsgericht davon aus, dass die ursprüngliche Einreihung im Zeitpunkt des Vertragsabschlusses rechtskonform und unter Wahrung der einschlägigen Prinzipien der Gegenseitigkeit und Risikogerechtigkeit zustande gekommen ist. Ferner geht es davon aus, dass sie sich bei der ursprünglichen Einreihung - im Rahmen des ihr zustehenden grossen Ermessens - auf objektive Kriterien gestützt hat (vgl. dazu Urteil des BVGer C-1362/2016 E. 5.6). Konkrete Hinweise, welche auf eine ursprünglich fehlerhafte Einreihung schliessen liessen, sind auch aus den Akten nicht ersichtlich und werden von der Vorinstanz denn auch nicht substantiiert geltend gemacht. Konkrete Zahlen oder Daten, welche eine ursprünglich falsche Einreihung in der Risikogruppe Kolonialwaren-Detailhandelsbetriebe belegen würden und auf welche sich die Vorinstanz bei Notwendigkeit der Neueinreihung im konkreten Fall stützen könnte, sind ebenfalls keine aktenkundig. Damit hat die Vorinstanz nicht nachgewiesen, dass die Voraussetzungen für eine Neueinreihung im Sinne des Einspracheentscheids vom 23. Dezember 2015 (bzw. der Verfügung vom Oktober 2015) gegeben sind. Auf Art. 92 Abs. 5 UVG kann sich die Vorinstanz im Falle einer ursprünglichen Falscheinreihung nicht berufen, sondern nur bei einer - vorliegend nicht ausgewiesenen - notwendigen neuen Einreihung.</w:t>
      </w:r>
    </w:p>
    <w:p>
      <w:r>
        <w:rPr>
          <w:b/>
        </w:rPr>
        <w:t>E. 5</w:t>
      </w:r>
    </w:p>
    <w:p>
      <w:r>
        <w:t>Aufgrund der vorstehenden Erwägungen ist zusammenfassend festzuhalten, dass die Vorinstanz die Neueinreihung nicht nachvollziehbar begründet hat. Zudem wird die Verschlechterung des Risikos der Risikogemeinschaft zwar behauptet - einerseits nach Vertragsabschluss, andererseits schon bei Vertragsabschluss bestehend - aber nicht belegt. Deshalb kann sich die Vorinstanz bei der Neueinreihung auch nicht auf Buchstabe D ("Erfahrungstarifierung") Ziffer 1.2 des Tarifs (act. 15 S. 15; vgl. E. 2.8 hiervor) stützen, wonach kleinere, nicht der Erfahrungstarifierung unterliegende Betriebe bei schlechtem Verlauf des betreffenden Versicherungszweigs saniert werden dürfen. Die Neueinreihung der Beschwerdeführerin per 1. Januar 2016 ist insgesamt rechtswidrig. Die Voraussetzungen für eine einseitige Vertragsänderung liegen nicht vor. Der Einspracheentscheid ist damit ersatzlos aufzuheben. Bei diesem Ergebnis erübrigt sich eine nähere Prüfung der im Zusammenhang mit der Erhöhung der Prämienbestandteile (Verwaltungskostenzuschlag etc.) vorgebrachten Rüge. Festzuhalten bleibt, dass sich die Vorinstanz rechtsprechungsgemäss (BGE 131 V 431 E. 6) nicht auf Art. 113 Abs. 3 UVV beziehungsweise Art. 92 Abs. 5 UVG stützen kann, wenn sie die übrigen Prämienbestandteile erhöhen will. Schliesslich braucht mit Blick auf das vorliegende Ergebnis auch der von der Beschwerdeführerin erhobene Vorwurf der Verletzung von Treu und Glauben im Sinne von Art. 9 der Bundesverfassung der Schweizerischen Eidgenossenschaft vom 18. April 1999 (BV; SR 101) nicht mehr geprüft zu werden (vgl. zum Ganzen auch Urteile des BVGer C-1362/2016 und C-1363/2016 E. 5.7/5.5 und 6).</w:t>
      </w:r>
    </w:p>
    <w:p>
      <w:r>
        <w:rPr>
          <w:b/>
        </w:rPr>
        <w:t>E. 6</w:t>
      </w:r>
    </w:p>
    <w:p>
      <w:r>
        <w:t>Zu befinden bleibt über die Verfahrenskosten und eine allfällige Parteientschädigung.</w:t>
      </w:r>
    </w:p>
    <w:p>
      <w:r>
        <w:rPr>
          <w:b/>
        </w:rPr>
        <w:t>E. 6.1</w:t>
      </w:r>
    </w:p>
    <w:p>
      <w:r>
        <w:t>Gemäss Art. 63 Abs. 1 VwVG sind die Verfahrenskosten der unterliegenden Partei aufzuerlegen. Infolge Gutheissung der Beschwerde sind der Beschwerdeführerin keine Verfahrenskosten aufzuerlegen. Der von ihr geleistete Kostenvorschuss in der Höhe von Fr. 1'200.- ist ihr nach Rechtskraft des vorliegenden Urteils zurückzuerstatten. Der Vorinstanz werden ebenfalls keine Verfahrenskosten auferlegt (Art. 63 Abs. 2 VwVG).</w:t>
      </w:r>
    </w:p>
    <w:p>
      <w:r>
        <w:rPr>
          <w:b/>
        </w:rPr>
        <w:t>E. 6.2</w:t>
      </w:r>
    </w:p>
    <w:p>
      <w:r>
        <w:t>Die obsiegende, anwaltlich vertretene Beschwerdeführerin hat gemäss Art. 64 Abs. 1 VwVG in Verbindung mit Art. 7 des Reglements vom 21. Februar 2008 über die Kosten und Entschädigungen vor dem Bundesverwaltungsgericht (VGKE, SR 173.320.2) Anspruch auf eine Parteientschädigung zu Lasten der Vorinstanz. Da keine Kostennote eingereicht wurde, ist die Entschädigung aufgrund der Akten festzusetzen (Art. 14 Abs. 2 Satz 2 VGKE). Unter Berücksichtigung des Verfahrensausgangs, des gebotenen und aktenkundigen Aufwands, der Bedeutung der Streitsache und der Schwierigkeit des vorliegend zu beurteilenden Verfahrens ist die Parteientschädigung - auch mit Blick auf die in den sehr ähnlich gelagerten Beschwerdeverfahren C-1362/2016 und C-1363/2016 zugesprochene Parteientschädigung von je Fr. 4'000.- - im vorliegenden Verfahren auf insgesamt Fr. 2'000.- festzusetzen (inkl. Auslagen und Mehrwertsteuer; Art. 9 Abs. 1 i.V.m. Art. 10 Abs. 2 VGKE). Die unterliegende Vorinstanz als Bundesbehörde hat keinen Anspruch auf eine Parteientschädigung (Art. 64 Abs. 1 VwVG i.V.m.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