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C-1363/2016 vom 19. Juni 2017</w:t>
      </w:r>
    </w:p>
    <w:p>
      <w:r>
        <w:t>Bundesverwaltungsgericht, 2017-06-19, DE</w:t>
      </w:r>
    </w:p>
    <w:p>
      <w:r>
        <w:rPr>
          <w:b/>
        </w:rPr>
        <w:t xml:space="preserve">Quelle: </w:t>
      </w:r>
      <w:r>
        <w:t>https://mcp.opencaselaw.ch/entscheid/bvger_C-1363_2016</w:t>
      </w:r>
    </w:p>
    <w:p>
      <w:r>
        <w:t>FR: TAF C-1363/2016 du 19 juin 2017</w:t>
      </w:r>
    </w:p>
    <w:p>
      <w:r>
        <w:t>IT: TAF C-1363/2016 del 19 giugno 2017</w:t>
      </w:r>
    </w:p>
    <w:p>
      <w:pPr>
        <w:pStyle w:val="Heading2"/>
      </w:pPr>
      <w:r>
        <w:t>Regeste</w:t>
      </w:r>
    </w:p>
    <w:p>
      <w:r>
        <w:t>Zuteilung zu den Prämientarifen</w:t>
      </w:r>
    </w:p>
    <w:p>
      <w:pPr>
        <w:pStyle w:val="Heading2"/>
      </w:pPr>
      <w:r>
        <w:t>Erwägungen</w:t>
      </w:r>
    </w:p>
    <w:p>
      <w:r>
        <w:rPr>
          <w:b/>
        </w:rPr>
        <w:t>E. 1.1</w:t>
      </w:r>
    </w:p>
    <w:p>
      <w:r>
        <w:t>Gemäss Art. 31 VwVG beurteilt das Bundesverwaltungsgericht Beschwerden gegen Verfügungen nach Art. 5 VwVG, sofern keine Ausnahme nach Art. 32 VGG vorliegt. Als Vorinstanzen gelten die in Art. 33 VGG genannten Behörden. Die B._______ AG ist als zugelassene Unfallversicherung mit öffentlich-rechtlichen Aufgaben des Bundes betraut und als solche eine Vorinstanz im Sinne von Art. 33 Bst. h VGG.</w:t>
      </w:r>
    </w:p>
    <w:p>
      <w:r>
        <w:rPr>
          <w:b/>
        </w:rPr>
        <w:t>E. 1.2</w:t>
      </w:r>
    </w:p>
    <w:p>
      <w:r>
        <w:t>Die Zuständigkeit des Bundesverwaltungsgerichts zur Beurteilung von Beschwerden gegen Einspracheentscheide über die Zuteilung der Betriebe und der Versicherten zu den Klassen und Stufen der Prämientarife ist in Art. 109 Bst. b UVG (SR 832.20) ausdrücklich geregelt. Anfechtungsobjekt ist vorliegend der Einspracheentscheid der Vorinstanz vom 23. Dezember 2015, in welchem sie die Verfügung vom Oktober 2015 bestätigt, mit welcher die Beschwerdeführerin in neue Gefahrenklassen, Stufen und Unterklassen eingereiht und der Endprämiensatz neu festgesetzt wurde. Somit ist das Bundesverwaltungsgericht für die Beurteilung der Streitsache zuständig. Soweit vorliegend jedoch die konkrete Festsetzung der Prämie und die Verletzung von Vertragsrecht geltend gemacht wird, ist das Bundesverwaltungsgericht für die Behandlung dieser Rügen nicht zuständig (zur Abgrenzung vgl. Urteil des EVG [Eidgenössisches Versicherungsgericht, heute: Bundesgericht] U 18/03 vom 20. November 2003 E. 4.3.2).</w:t>
      </w:r>
    </w:p>
    <w:p>
      <w:r>
        <w:rPr>
          <w:b/>
        </w:rPr>
        <w:t>E. 1.3</w:t>
      </w:r>
    </w:p>
    <w:p>
      <w:r>
        <w:t>Das Verfahren vor dem Bundesverwaltungsgericht richtet sich nach dem Verwaltungsverfahrensgesetz, soweit das Verwaltungsgerichtsgesetz nichts anderes bestimmt (Art. 37 VGG). Vorbehalten bleiben gemäss Art. 3 Bst. dbis VwVG die besonderen Bestimmungen des ATSG (SR 830.1).</w:t>
      </w:r>
    </w:p>
    <w:p>
      <w:r>
        <w:rPr>
          <w:b/>
        </w:rPr>
        <w:t>E. 1.4</w:t>
      </w:r>
    </w:p>
    <w:p>
      <w:r>
        <w:t>Der Beschwerdeführer hat am vorinstanzlichen Verfahren teilgenom-men, ist als Adressat durch die angefochtene Einspracheverfügung vom 23. Dezember 2015 in besonderer Weise berührt und hat an deren Aufhebung oder Änderung ein schutzwürdiges Interesse (Art. 48 Abs. 1 VwVG; vgl. auch Art. 59 ATSG). Er ist zur Beschwerde legitimiert.</w:t>
      </w:r>
    </w:p>
    <w:p>
      <w:r>
        <w:rPr>
          <w:b/>
        </w:rPr>
        <w:t>E. 1.5</w:t>
      </w:r>
    </w:p>
    <w:p>
      <w:r>
        <w:t>Die Beschwerde wurde frist- und formgerecht eingereicht (Art. 50 Abs. 1 i.V.m. Art. 21 Abs. 2 und 22a Abs. 1 Bst. c VwVG; vgl. auch Art. 60 Abs. 1 und Abs. 2 i.V.m. Art. 38 Abs. 4 Bst. c und 39 Abs. 2 ATSG). Da auch der Kostenvorschuss von Fr. 1'500.- rechtzeitig überwiesen wurde, ist auf die Beschwerde - mit Ausnahme der Rügen betreffend die konkrete Prämienfestsetzung und die Verletzung von Vertragsrecht (s. E. 1.2 hievor) - einzutreten.</w:t>
      </w:r>
    </w:p>
    <w:p>
      <w:r>
        <w:rPr>
          <w:b/>
        </w:rPr>
        <w:t>E. 1.6</w:t>
      </w:r>
    </w:p>
    <w:p>
      <w:r>
        <w:t>Anfechtungs- und Streitgegenstand bildet somit die Neueinreihung in den Prämientarif. Der Beschwerdeführer macht dazu im Wesentlichen geltend, für die Neueinreihung und die damit verbundene Prämienerhöhung lägen keine ausreichenden Gründe vor. Zudem dürfe sich die Neueinreihung nur auf den Risikoteil beziehen, nicht aber auf die übrigen Prämienbestandteile. Nicht bestritten wird die vertragliche Regelung, wonach dem Versicherten im Falle einer Kündigung nach Art. 92 Abs. 5 UVG kein Kündigungsrecht vor Vertragsablauf zusteht (vgl. Beilage zu BVGer act. 3, S. 4 f.).</w:t>
      </w:r>
    </w:p>
    <w:p>
      <w:r>
        <w:rPr>
          <w:b/>
        </w:rPr>
        <w:t>E. 2.1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Entscheides beanstanden (Art. 49 VwVG).</w:t>
      </w:r>
    </w:p>
    <w:p>
      <w:r>
        <w:rPr>
          <w:b/>
        </w:rPr>
        <w:t>E. 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wirtschaftlicher oder wissenschaftlicher Spezialfragen geht, in denen die Vorinstanz über ein besonderes Fachwissen verfügt (vgl. BGE 135 II 296 E. 4.4.3; 133 II 35 E. 3 mit Hinweisen; siehe zum Ganzen auch YVO HANGARTNER, Behördenrechtliche Kognitionsbeschränkungen in der Verwaltungsrechtspflege, in: Bovay/Nguyen [Hrsg.], Mélanges en l'honneur de Pierre Moor, 2005, S. 319 ff.; FELLER/MÜLLER, Die Prüfungszuständigkeit des Bundesverwaltungsgerichts - Probleme in der praktischen Umsetzung, Schweizerisches Zentralblatt für Staats- und Verwaltungsrecht [ZBl] 110/2009 S. 442 ff.). Dies gilt jedenfalls insoweit, als die Vorinstanz die für den Entscheid wesentlichen Gesichtspunkte geprüft und die erforderlichen Abklärungen sorgfältig und umfassend durchgeführt hat (BGE 139 II 185 E. 9.3; BGE 138 II 77 E. 6.4).</w:t>
      </w:r>
    </w:p>
    <w:p>
      <w:r>
        <w:rPr>
          <w:b/>
        </w:rPr>
        <w:t>E. 2.3</w:t>
      </w:r>
    </w:p>
    <w:p>
      <w:r>
        <w:t>Im Bereich der Prämientarife besteht die Überprüfungsbefugnis des Bundesverwaltungsgerichts einerseits darin, die richtige Anwendung des Tarifs zu kontrollieren; andererseits kann es im Rahmen der konkreten Normenkontrolle die der Verfügung zu Grunde liegenden Tarifpositionen auf ihre Gesetz- und Verfassungsmässigkeit überprüfen.</w:t>
      </w:r>
    </w:p>
    <w:p>
      <w:r>
        <w:rPr>
          <w:b/>
        </w:rPr>
        <w:t>E. 2.4</w:t>
      </w:r>
    </w:p>
    <w:p>
      <w:r>
        <w:t>Das Bundesverwaltungsgericht überprüft ansonsten den angefochtenen Entscheid frei, dies unter Berücksichtigung der vorgebrachten Rügen. Die Beschwerdeinstanz hat mithin nicht zu untersuchen, ob sich die angefochtene Verfügung unter schlechthin allen in Frage kommenden Aspekten als korrekt erweist, sondern untersucht im Prinzip nur die vorgebrachten Beanstandungen. Von den Verfahrensbeteiligten nicht aufgeworfene Rechtsfragen werden nur geprüft, wenn hierzu aufgrund der Parteivorbringen oder anderer sich aus den Akten ergebender Anhaltspunkte hinreichender Anlass besteht (BGE 119 V 347 E. 1a).</w:t>
      </w:r>
    </w:p>
    <w:p>
      <w:r>
        <w:rPr>
          <w:b/>
        </w:rPr>
        <w:t>E. 3</w:t>
      </w:r>
    </w:p>
    <w:p>
      <w:r>
        <w:t>Zunächst sind die für die Einreihung der Betriebe wichtigsten gesetzlichen Bestimmungen, massgebenden Grundsätze sowie die massgeblichen Tarifbestimmungen wiederzugeben.</w:t>
      </w:r>
    </w:p>
    <w:p>
      <w:r>
        <w:rPr>
          <w:b/>
        </w:rPr>
        <w:t>E. 3.1</w:t>
      </w:r>
    </w:p>
    <w:p>
      <w:r>
        <w:t>Für die Durchführung der Unfallversicherung sind einheitliche Rechnungsgrundlagen zu verwenden. Der Bundesrat erlässt Richtlinien (Art. 89 Abs. 1 UVG).</w:t>
      </w:r>
    </w:p>
    <w:p>
      <w:r>
        <w:rPr>
          <w:b/>
        </w:rPr>
        <w:t>E. 3.2</w:t>
      </w:r>
    </w:p>
    <w:p>
      <w:r>
        <w:t>Gemäss Art. 92 Abs. 1 UVG werden die Prämien von den Versicherern in Promillen des versicherten Verdienstes festgesetzt. Sie bestehen aus einer dem Risiko entsprechenden Nettoprämie und aus Zuschlägen für die Verwaltungskosten, für die Kosten der Verhütung von Unfällen und Berufskrankheiten und für die nicht durch Zinsüberschüsse gedeckten Teuerungszulagen. Die Versicherer können für die beiden obligatorischen Versicherungszweige je eine vom jeweiligen Risiko unabhängige Minimalprämie erheben; der Bundesrat legt die Höchstgrenze der Minimalprämie fest. Laut Art. 92 Abs. 2 UVG werden für die Bemessung der Prämien in der Berufsunfallversicherung die Betriebe nach ihrer Art und ihren Verhältnissen in Klassen des Prämientarifs und innerhalb dieser in Stufen eingereiht. Massgebend sind dabei insbesondere die Unfallgefahr und der Stand der Unfallverhütung. Aufgrund der Risikoerfahrungen kann der Versicherer von sich aus oder auf Antrag von Betriebsinhabern die Zuteilung bestimmter Betriebe zu den Klassen und Stufen des Prämientarifs jeweils auf den Beginn des Rechnungsjahres ändern (Art. 92 Abs. 5 UVG). Für die Bemessung der Prämien in der Nichtberufsunfallversicherung können Tarifklassen gebildet werden. Die Prämien dürfen nicht nach dem Geschlecht der versicherten Personen abgestuft werden (Art. 92 Abs. 6 UVG).</w:t>
      </w:r>
    </w:p>
    <w:p>
      <w:r>
        <w:rPr>
          <w:b/>
        </w:rPr>
        <w:t>E. 3.3</w:t>
      </w:r>
    </w:p>
    <w:p>
      <w:r>
        <w:t>Die Prämienzuschläge für Verwaltungskosten dienen der Deckung der ordentlichen Aufwendungen, die den Versicherern aus der Durchführung der Unfallversicherung erwachsen, einschliesslich der nicht der Heilbehandlung dienenden Aufwendungen für Dienstleistungen Dritter wie Rechts-, Beratungs- und Begutachtungskosten (Art. 92 Abs. 7 UVG; Art. 114 Abs. 1 der Verordnung über die Unfallversicherung vom 20. Dezember 1982 [UVV, SR 832.202]). Gemäss Art. 115 Abs. 1 UVV werden die Prämien - unter Vorbehalt der in den Bst. a bis d genannten Abweichungen - auf dem versicherten Verdienst im Sinne von Art. 22 Abs. 1 und 2 UVV erhoben.</w:t>
      </w:r>
    </w:p>
    <w:p>
      <w:r>
        <w:rPr>
          <w:b/>
        </w:rPr>
        <w:t>E. 3.4</w:t>
      </w:r>
    </w:p>
    <w:p>
      <w:r>
        <w:t>Die Betriebe oder Betriebsteile sind so in Klassen und Stufen des Prämientarifs einzureihen, dass die Kosten der Berufsunfälle und Berufskrankheiten einer Risikogemeinschaft voraussichtlich aus den Nettoprämien bestritten werden können (Art. 113 Abs. 1 UVV). Die Betriebe oder Betriebsteile sind folglich nach Massgabe ihres Risikos in die Klassen und Stufen des Prämientarifs einzuteilen (Grundsatz der risikogerechten Prämien).</w:t>
      </w:r>
    </w:p>
    <w:p>
      <w:r>
        <w:rPr>
          <w:b/>
        </w:rPr>
        <w:t>E. 3.5</w:t>
      </w:r>
    </w:p>
    <w:p>
      <w:r>
        <w:t>Bei der Prämienbemessung ist weiter das in Art. 61 Abs. 2 UVG vorgesehene Prinzip der Gegenseitigkeit zu berücksichtigen. Dieses Prinzip verlangt, dass die Suva und die anderen an der obligatorischen Unfallversicherung beteiligten Versicherer (vgl. dazu Art. 68 UVG) einerseits keine Gewinne aus dem Versicherungsgeschäft erzielen, andererseits finanziell autonom sein sollen. Neben diesen im Gesetz explizit geregelten Prinzipien müssen sich die Versicherer bei der Aufstellung der Tarife an die allgemeinen Grundsätze halten, welche aus dem Sozialversicherungsrecht des Bundes, dem Verwaltungsrecht und der Bundesverfassung fliessen. Unter die allgemeinen Prinzipien, welche bei der Tarifgestaltung zu berücksichtigen sind, fällt namentlich der Grundsatz der Solidarität. Demnach muss das Unfallrisiko durch eine grosse Zahl von Versicherten getragen werden (BGE 112 V 316 E. 5c). In eine ähnliche Richtung geht das Versicherungsprinzip, wonach das Risiko durch eine Mehrzahl von Versicherten zu tragen ist. Weiter ist der Grundsatz der Verwaltungsökonomie zu beachten (Urteile des BVGer C-541/2011 vom 16. Mai 2013 E. 2.3 und C-539/2009 vom 20. August 2012 E. 3.4.1 mit Hinweisen), sollen doch die Prämieneinnahmen nicht durch übermässige Verwaltungsaufwendungen geschmälert werden.</w:t>
      </w:r>
    </w:p>
    <w:p>
      <w:r>
        <w:rPr>
          <w:b/>
        </w:rPr>
        <w:t>E. 3.6</w:t>
      </w:r>
    </w:p>
    <w:p>
      <w:r>
        <w:t>Das Prinzip der Solidarität und jenes der Risikogerechtigkeit sind einander entgegengesetzt. Grösstmögliche Solidarität wäre durch eine für alle Betriebe geltende Einheitsprämie zu erreichen, während grösstmögliche Risikogerechtigkeit eine für jeden Betrieb individuell bestimmte Prämie bedingen würde. Die Ausgestaltung des Prämientarifs hat sich zwischen diesen zwei Polen zu bewegen. Aus dem Gegensatz dieser zwei Grund-sätze fliesst denn auch, dass das Gleichbehandlungsgebot nicht zur Folge haben kann, dass für jeden einzelnen Betrieb ein individueller Risikosatz bestimmt wird; es fliessen zwangsläufig Faktoren anderer nicht identischer Betriebe für die Einreihung mit ein, sei dies im Rahmen der Zuteilung zu den Klassen oder bei der Berücksichtigung von Vergleichswerten (BVGE 2007/27 E. 5.6).</w:t>
      </w:r>
    </w:p>
    <w:p>
      <w:r>
        <w:rPr>
          <w:b/>
        </w:rPr>
        <w:t>E. 3.7</w:t>
      </w:r>
    </w:p>
    <w:p>
      <w:r>
        <w:t>Ein Prämientarif hat sodann den Grundsätzen der Verfassung zu entsprechen, insbesondere dem Prinzip der Gleichbehandlung (Art. 8 BV) und dem Willkürverbot (Art. 9 BV). Nach ständiger Rechtsprechung ist der Grundsatz der rechtsgleichen Behandlung verletzt,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Willkürlich ist eine Bestimmung, wenn sie sich nicht auf ernsthafte Gründe stützen lässt oder wenn sie sinn- oder zwecklos ist (BGE 132 I 157 E. 4.1; siehe auch BGE 133 V 42 E. 3.1 mit Hinweisen). Das EVG hat im Übrigen festgestellt, dass im Bereich der Prämientarifgestaltung das Gleichbehandlungsgebot und das Prinzip der Risikogerechtigkeit deckungsgleich sind (vgl. RKUV 1998 Nr. U 294 S. 228 E. 1c). Lässt sich also für eine Betriebsart oder einen Betrieb ein gegenüber anderen Betriebsarten unterschiedliches Risiko feststellen, so gebietet dieser Unterschied, diese Betriebsart ungleich zu behandeln. Bei gleichen Verhältnissen müssen auch gleiche Leistungen beziehungsweise Prämien resultieren (BGE 112 V 291 E. 3b mit Hinweisen), wobei unter Gleichheit nicht Identität zu verstehen ist.</w:t>
      </w:r>
    </w:p>
    <w:p>
      <w:r>
        <w:rPr>
          <w:b/>
        </w:rPr>
        <w:t>E. 3.8</w:t>
      </w:r>
    </w:p>
    <w:p>
      <w:r>
        <w:t>Laut dem hier anwendbaren Prämientarif der Solida, gültig ab dem 1. Januar 2014 (BVGer act. 10, Beilage 8), werden die Betriebe sowohl in der BUV als auch in der NBUV in Gefahrenklassen des Tarifs eingereiht. In der BUV erfolgt alsdann eine Einreihung in Stufen, in der NBUV eine Einreihung in Unterklassen. Eine nachträgliche höhere Einstufung in eine andere Gefahrenstufe ist bei Kleinbetrieben (ohne Erfahrungstarifierung) in der BUV und in der NBUV aufgrund von Sanierungen möglich (S. 4 f.). In Bst. C des Tarifs (S. 9 f.) wird die Berechnung der Prämiensätze in der BUV (Risikoprämie, Verwaltungskostenzusätze, Unfallverhütungsbeiträge, Prämienzuschläge für Teuerungszulagen) beschrieben. Laut Bst. D (S. 13 f.) können Kleinbetriebe - ein solcher ist vorliegend die Beschwerdeführerin - bei schlechtem Verlauf des Versicherungszweigs saniert, das heisst eine BUV-Stufe respektive eine NBUV-Unterklasse höher als 10 eingereiht werden. Dabei wird empfohlen, die nachstehenden Regeln anzuwenden. Weiter wird in Bst. D der Rhythmus der Erfahrungstarifierung, die Beobachtungsperiode und die Kalkulation beschreiben (S. 14 f.). Im Anhang zum Tarif werden u. a. fiktive Berechnungsbeispiele dargestellt.</w:t>
      </w:r>
    </w:p>
    <w:p>
      <w:r>
        <w:rPr>
          <w:b/>
        </w:rPr>
        <w:t>E. 4.1</w:t>
      </w:r>
    </w:p>
    <w:p>
      <w:r>
        <w:t>Die Beschwerdeführerin macht zwar nicht explizit eine Verletzung des rechtlichen Gehörs infolge einer mangelhaften Begründung geltend. Immerhin führt sie in der Replik aus, dass eine Anfechtung der Anpassung der Prämienzuschläge erst nach Einsicht in die Vernehmlassung möglich gewesen sei, da die Aufschlüsselung der Endprämien in die einzelnen Prämienkomponenten bis und mit dem Einspracheentscheid nicht offengelegt worden sei. Eine substanziierte Anfechtung sei so - unter Hinweis auf BGE 124 II 149 E. 2a -- nicht möglich gewesen (BVGer act. 15, S. 2 f.). Diese Ausführungen beinhalten die Rüge, durch eine mangelhafte Begründung des angefochtenen Einspracheentscheides sei das rechtliche Gehör der Beschwerdeführerin verletzt worden, was nachfolgend zu prüfen ist.</w:t>
      </w:r>
    </w:p>
    <w:p>
      <w:r>
        <w:rPr>
          <w:b/>
        </w:rPr>
        <w:t>E. 4.2.1</w:t>
      </w:r>
    </w:p>
    <w:p>
      <w:r>
        <w:t>Das rechtliche Gehör (vgl. dazu Art. 29 Abs. 2 BV; Art. 42 Abs. 2 ATSG; Art. 29 VwVG) dient einerseits der Sachaufklärung, andererseits stellt es ein persönlichkeitsbezogenes Mitwirkungsrecht beim Erlass eines Entscheides dar, welcher in die Rechtsstellung des Einzelnen eingreift. Zum Gehörsanspruch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135 I 279 E. 2.3; 135 II 286 E. 5.1; 132 V 368 E. 3.1 mit Hinweisen).</w:t>
      </w:r>
    </w:p>
    <w:p>
      <w:r>
        <w:rPr>
          <w:b/>
        </w:rPr>
        <w:t>E. 4.2.2</w:t>
      </w:r>
    </w:p>
    <w:p>
      <w:r>
        <w:t>Wesentlicher Bestandteil des Anspruchs auf rechtliches Gehör ist zudem die Begründungspflicht. Diese soll verhindern, dass sich die Behörde von unsachlichen Motiven leiten lässt, und dem Betroffenen ermöglichen, die Verfügung gegebenenfalls sachgerecht anzufechten. Dies ist nur möglich, wenn sowohl er wie auch die Rechtsmittelinstanz sich über die Tragweite des Entscheides ein Bild machen können. In diesem Sinn müssen wenigstens kurz die Überlegungen genannt werden, von denen sich die Behörde hat leiten lassen und auf welche sich ihr Entscheid stützt. Dies bedeutet indessen nicht, dass sie sich ausdrücklich mit jeder tatbeständlichen Behauptung und jedem rechtlichen Einwand auseinandersetzen muss. Vielmehr kann sie sich auf die für den Entscheid wesentlichen Gesichtspunkte beschränken (BGE 136 I 229 E. 5.2; Urteil des BGer 9C_257/2011 vom 25. August 2011 E. 5.1, je mit Hinweisen).</w:t>
      </w:r>
    </w:p>
    <w:p>
      <w:r>
        <w:rPr>
          <w:b/>
        </w:rPr>
        <w:t>E. 4.3</w:t>
      </w:r>
    </w:p>
    <w:p>
      <w:r>
        <w:t>Die Vorinstanz hat die Gründe für die Erhöhung der Risikoprämie in den Ziffern 11 und 12 ihres Einspracheentscheides (BVGer act. 10, Beilage 15) dargelegt (vgl. dazu BVGer act. 10, S. 4). Sie verweist auf die Notwendigkeit der risikogerechten Abstufung von Prämien, die Bildung von Risikogemeinschaften und die Notwendigkeit des Abstellens auf die Gesamtheit der in der Risikogemeinschaft zusammengefassten Risikoeinheiten. Die Branchenerfahrung mit der Risikogemeinschaft habe zur Folge, dass für die Beschwerdeführerin sowohl eine höhere BU-Stufe als auch eine höhere NBU-Unterklasse habe festgelegt werden müssen. Diese Begründung ist zwar kurz, aber dennoch vorliegend für eine sachgerechte Anfechtung des Entscheides ausreichend, auch wenn eine Aufschlüsselung der verschiedenen Prämienbestandteile in Verletzung von Art. 120 Abs. 1 UVV nicht erfolgt ist. Höhere Anforderungen an die Begründungspflicht wären beispielsweise dann zu stellen, wenn der Verwaltung infolge Ermessen und unbestimmter Rechtsbegriffe ein Spielraum eingeräumt wird (siehe BGE 127 V 431 E. 2) oder ein besonders komplexer Sachverhalt zu beurteilen ist (Urteil des EVG I 3/05 vom 17. Juni 2005 E. 3.2). Solche Umstände, welche eine detailliertere Entscheidbegründung erfordert hätten, lagen hier nicht vor (vgl. dazu Urteil des BVGer C-1362/2016 vom 23. März 2017 E. 4.4 m.H.). Soweit also die Beschwerdeführerin rügt, die Vorinstanz habe nie in nachvollziehbarer Weise begründet, weshalb sie eine Erhöhung der Risikoprämie vorgenommen hat, steht nicht die aus dem Anspruch auf rechtliches Gehör fliessende Begründungspflicht in Frage, sondern die Rechtmässigkeit der Einreihung. Daraus folgt, dass die Vorinstanz den Gehörsanspruch der Beschwerdeführerin hinsichtlich der Hauptsache, der Erhöhung der Risikoprämie, nicht verletzt hat.</w:t>
      </w:r>
    </w:p>
    <w:p>
      <w:r>
        <w:rPr>
          <w:b/>
        </w:rPr>
        <w:t>E. 4.4</w:t>
      </w:r>
    </w:p>
    <w:p>
      <w:r>
        <w:t>Nicht gefolgt werden kann deshalb auch den Ausführungen der Beschwerdeführerin in der Replik, wonach die Verfügung nichtig sei, da die Einzelkomponenten der angepassten Prämien nicht offengelegt worden seien (BVGer act. 18, S. 4). Nichtigkeit ist nur unter ganz bestimmten eng umschriebenen Vorrausetzungen anzunehmen. Nach ständiger Rechtsprechung ist eine fehlerhafte Verfügung nach Art. 5 Abs. 1 VwVG nur ausnahmsweise nichtig, wenn der Mangel besonders schwer und offensichtlich oder zumindest leicht erkennbar ist; zudem darf die Rechtssicherheit durch die Annahme der Nichtigkeit nicht ernsthaft gefährdet sein. Als Nichtigkeitsgründe fallen vorab die funktionelle und sachliche Unzuständigkeit der entscheidenden Behörde sowie krasse Verfahrensfehler in Betracht. Nur ausserordentlich schwerwiegende inhaltliche Mängel führen zur Nichtigkeit (vgl. dazu Häfelin/Müller/Uhlmann, Allgemeines Verwaltungsrecht, 7. Aufl. 2016, Rz. 1102 ff.; BGE 138 III 49 E. 4.4.3 S. 56; Urteil des BGer 9C_320/2014 vom 29. Januar 2015 E. 4.1 m.H.). Als nichtig wäre namentlich eine Verfügung anzusehen, die einen unmöglichen Inhalt hat, bei der die Fehlerhaftigkeit an ihr selbst zum Ausdruck kommt, bei tatsächlicher Unmöglichkeit des Vollzugs oder wenn sie unklar oder unbestimmt ist (Urteil des EVG 5P.178/2003 vom 2. Juni 2003 E. 3.2). Eine unzureichend begründete Verfügung stellt aber keinen Nichtigkeitsgrund dar (vgl. Urteil des BGer 2A.61/2006 vom 2. März 2006 E. 2.2; Urteil des BVGer C-7527/2014 vom 12. August 2015 E. 2.2). Die mangelnde explizite Aufteilung der Prämienbestandteile hat demnach keine Nichtigkeit der Verfügung respektive des Einspracheentscheides zur Folge (Urteil C-1362/2016 E. 4.6).</w:t>
      </w:r>
    </w:p>
    <w:p>
      <w:r>
        <w:rPr>
          <w:b/>
        </w:rPr>
        <w:t>E. 4.5</w:t>
      </w:r>
    </w:p>
    <w:p>
      <w:r>
        <w:t>Die Vorinstanz hat nebst den Risikoprämien auch die Prämien für den Verwaltungskostenzuschlag, für den Unfallverhütungsbeitrag, für den Umlagebeitrag und für die Teuerungszulagen erhöht. Dazu hat sie sich weder in der Verfügung noch im Einspracheentscheid geäussert. Deshalb stellt sich die Frage, ob eine Begründung für die Erhöhung dieser "übrigen Prämienbestandteile" hätte erfolgen müssen, um eine Verletzung des rechtlichen Gehörs zu vermeiden. Das Bundesverwaltungsgericht hat diese Frage kürzlich in einem - ebenfalls die Vorinstanz betreffenden - gleich gelagerten Fall im Ergebnis gestützt auf eine prima-vista-Prüfung verneint mit der Begründung, dass die "übrigen Prämienbestandteile" in Prozenten des Risikotarifs erhoben würden, sodass der Grund für die Erhöhung leicht nachvollzogen werden könne. Auf eine eingehendere Prüfung der Frage konnte indes mit Blick auf die nachfolgenden Erwägungen ebenso verzichtet werden wie auf die Prüfung der Frage, ob allenfalls eine Heilung möglich wäre (Urteil C-1362/2016 E. 4.7). Dies gilt auch im vorliegenden Fall, welcher bezüglich der dieser formellen Frage mit dem genannten Urteil gleich gelagert ist.</w:t>
      </w:r>
    </w:p>
    <w:p>
      <w:r>
        <w:rPr>
          <w:b/>
        </w:rPr>
        <w:t>E. 5</w:t>
      </w:r>
    </w:p>
    <w:p>
      <w:r>
        <w:t>Aufgrund der Akten ist im Wesentlichen von folgendem Sachverhalt auszugehen:</w:t>
      </w:r>
    </w:p>
    <w:p>
      <w:r>
        <w:rPr>
          <w:b/>
        </w:rPr>
        <w:t>E. 5.1</w:t>
      </w:r>
    </w:p>
    <w:p>
      <w:r>
        <w:t>Am 1. Januar 2016 setzte die Solida einen neuen Tarif in Kraft (BVGer act. 10, Beilage 16) und ersetzte damit ihren Tarif vom 1. Januar 2014. Im neuen Tarif wurden Pflegeheime neu in die Gefahrenklassen 610 (BUV; bisher: 61) und 207 (NBUV; bisher: 12) eingeteilt (BVGer act. 10, Beilage 16, S. 10 und 12). Die Vorinstanz übernahm die durch die Solida vorgenommene Einreihung der Beschwerdeführerin in die Gefahrenklasse. Gleichzeitig per 1. Januar 2016 hat die Vorinstanz - in Eigenverantwortung - den Betrieb neu in die Stufe 10 (BUV; 2.95 perthousand) und in die Unterklasse 10 (NBUV; 14.98 perthousand) - den Durchschnittswert - eingereiht. Es erfolgte also bei der BUV eine Erhöhung um 2 Stufen (Stufe 8 auf 10) und bei der NBUV eine Erhöhung um 4 Klassen (Erhöhung von Unterklasse 6 auf Unterklasse 10). In ihrem Einspracheentscheid (BVGer act. 10, Beilage 15) begründet die Vorinstanz die Erhöhung sinngemäss mit der Erfahrung der Risikogemeinschaft und damit, dass die Zahl und Kosten der Unfälle gestiegen seien und die Prämien ohne eine Erhöhung die Kosten künftig nicht mehr hätten gedeckt werden können. Zur Begründung der Prämienerhöhung verweist die Vorinstanz in ihrer Vernehmlassung und Duplik insbesondere auf den neuen Tarif der Solida (BVGer act. 10, Beilage 16) sowie auf ein Schreiben des BAG vom 26. Februar 2015 (BVGer act. 10, Beilage 21), welche beide zu einer Überprüfung der Prämiensätze aller Betriebe Anlass gegeben hätten (BVGer act. 10, S. 5 - 7; BVGer act. 17, S. 4). Im Schreiben des BAG wurde die Vorinstanz aufgefordert, die Nettoprämiensätze des Tarifs so festzulegen, dass keine systematische Querfinanzierung zwischen Risikoklassen entstehe.</w:t>
      </w:r>
    </w:p>
    <w:p>
      <w:r>
        <w:rPr>
          <w:b/>
        </w:rPr>
        <w:t>E. 5.2</w:t>
      </w:r>
    </w:p>
    <w:p>
      <w:r>
        <w:t>Nachfolgend sind die einzelnen Rügen der Beschwerdeführerin zur neuen Einreihung zu prüfen.</w:t>
      </w:r>
    </w:p>
    <w:p>
      <w:r>
        <w:rPr>
          <w:b/>
        </w:rPr>
        <w:t>E. 5.2.1</w:t>
      </w:r>
    </w:p>
    <w:p>
      <w:r>
        <w:t>Die Beschwerdeführerin macht zunächst geltend, die Erhöhung der Prämie lasse sich nicht mit der Einführung des neuen Tarifs der Solida begründen. In der BUV seien die Tarifprämien unverändert geblieben, während dem sie in der NBUV gar gesenkt worden seien. Die von der Vorinstanz auferlegte signifikante Prämienerhöhung lasse sich demnach nicht auf die Einführung des neuen Tarifs zurückführen. Bezüglich der NBU-Prämie wäre im Gegenteil eine Prämiensenkung zu erwarten gewesen. Die Prämienerhöhung lasse sich deshalb nicht mit der gestiegenen Lebenserwartung und mit der Zunahme der Behandlungskosten der Risikogemeinschaft begründen. Die behaupteten höheren Schadenaufwendungen hätten sich im Risikotarif niederschlagen müssen, was eben nicht der Fall gewesen sei (BVGer act. 15, S. 4 f.).</w:t>
      </w:r>
    </w:p>
    <w:p>
      <w:r>
        <w:rPr>
          <w:b/>
        </w:rPr>
        <w:t>E. 5.2.2</w:t>
      </w:r>
    </w:p>
    <w:p>
      <w:r>
        <w:t>Aus den Akten geht hervor, dass die Beschwerdeführerin in der Gefahrenklassifikation des Tarifs einer neuen Nummer (610 in der BUV, 207 in der NBUV) zugeteilt wurde. Der Prämiensatz in der BUV veränderte sich dabei nicht (2.95 perthousand in der Stufe 10 [vgl. dazu BVGer act. 10, Beilage 8, S. 9 sowie BVGer act. 10, Beilage 16, S. 10]). In der NBUV sank er von 16.23 perthousand (BVGer act. 10, Beilage 8, S. 11 und Beilage 9 [ungeschwärzter Teil]) auf 14.98 perthousand (BVGer act. 10, Beilage 16, S. 12 und Beilage 17 [ungeschwärzter Teil]). Soweit sich die Vorinstanz bei der Neueinreihung, verbunden mit einer Prämienerhöhung, auf den Tarif beruft, vermag dieser keine nachvollziehbare und rechtsgenügliche Grundlage hierfür zu begründen. In den Akten finden sich keine Hinweise dafür, dass sich die von der Vorinstanz geltend gemachte gestiegene Lebenserwartung oder die geltend gemachte Zunahme der Behandlungskosten im Prämientarif der Solida in der Risikogemeinschaft "Pflegeheime (Krankenpflegeheime)" niedergeschlagen hätte. In der NBUV ist die Beschwerdeführerin gar einer geringeren Gefahrenklasse eingereiht worden. Daraus folgt, dass sich die Neueinreihung in die höhere Stufe respektive in die höhere Unterklasse - in Eigenverantwortung der Vorinstanz - nicht mit dem neuen Tarif begründen lässt (vgl. die analoge ebenfalls die Vorinstanz betreffende Konstellation in Urteil C-1362/2016 E. 5.2.2). Insgesamt kann die Neueinreihung beziehungsweise die Prämienerhöhung nicht auf den neuen Tarif zurückgeführt werden.</w:t>
      </w:r>
    </w:p>
    <w:p>
      <w:r>
        <w:rPr>
          <w:b/>
        </w:rPr>
        <w:t>E. 5.3.1</w:t>
      </w:r>
    </w:p>
    <w:p>
      <w:r>
        <w:t>Im Weiteren bringt die Beschwerdeführerin vor, die Vorinstanz könne aus dem Schreiben des BAG vom 26. Februar 2015 (BVGer act. 10, Beilage 21) - worin sich die Aufsichtsbehörde generell gegen eine Quersubventionierung zwischen den Risikoklassen wende - nichts zu ihren Gunsten ableiten. Aus dem Schreiben des BAG gehe insbesondere nicht hervor, ob und gegebenenfalls inwiefern die beanstandete Quersubventionierung auch auf die Gefahrenklasse "Pflegeheim (Krankenpflegeheim)" zutreffe. Es sei nicht Aufgabe des BAG, gesellschaftsindividuelle Prämien zu genehmigen, und eine präventive Prämienkontrolle sehe das UVG nicht vor. Selbst wenn das BAG die Vorinstanz angewiesen hätte, tarifmässige Prämien zu verlangen, könnte dies nicht als Grund für einen Verstoss gegen die Vertragstreue dienen (BVGer act. 15, S. 7 f.).</w:t>
      </w:r>
    </w:p>
    <w:p>
      <w:r>
        <w:rPr>
          <w:b/>
        </w:rPr>
        <w:t>E. 5.3.2</w:t>
      </w:r>
    </w:p>
    <w:p>
      <w:r>
        <w:t>Die Vorinstanz wendet dagegen ein, dass sie das BAG im erwähnten Schreiben aufgefordert habe, die Risikoprämien der bei ihr versicherten Betriebe dergestalt festzulegen, dass sie den Nettoprämien der Risikoklassen entsprechen würden. Nachdem die Beschwerdeführerin zu tiefe Nettoprämiensätze aufgewiesen habe, sei eine Anpassung unumgänglich gewesen. Überdies sei der UVG-Tarif sehr wohl von der Aufsichtsbehörde überprüft und legitimiert worden (BVGer act. 15, S. 6 f.).</w:t>
      </w:r>
    </w:p>
    <w:p>
      <w:r>
        <w:rPr>
          <w:b/>
        </w:rPr>
        <w:t>E. 5.3.3</w:t>
      </w:r>
    </w:p>
    <w:p>
      <w:r>
        <w:t>Ob es sich beim Schreiben des BAG vom 26. Februar 2015 um eine reine Empfehlung oder um eine Anweisung zu einem bestimmten Tun aufgrund festgestellter genereller Mängel gehandelt hat, kann hier offenbleiben. Jedenfalls handelt es sich nicht um eine Anweisung an die Vorinstanz, in einem individuell-konkreten Fall eine Neueinreihung vorzunehmen. Somit beinhaltet dieses Schreiben an die Vorinstanz keine Erlaubnis, von der Rechtsordnung abzuweichen und ohne Begründung wie auch ohne Belege einseitig einen Vertrag abzuändern. Die Prüfung der Rechtmässigkeit einer individuell-konkreten Neueinreihung bleibt im Übrigen dem Bundesverwaltungsgericht vorbehalten (Art. 109 Bst. b UVG; so auch Urteil C-1362/2016 E. 5.3.3).</w:t>
      </w:r>
    </w:p>
    <w:p>
      <w:r>
        <w:rPr>
          <w:b/>
        </w:rPr>
        <w:t>E. 5.4.1</w:t>
      </w:r>
    </w:p>
    <w:p>
      <w:r>
        <w:t>Schliesslich rügt die Beschwerdeführerin, für sie als mittelgrosser Betrieb falle zwar unbestrittenermassen eine Erfahrungstarifierung ausser Betracht, sodass im Grundsatz auf den Durchschnittswert der entsprechenden Risikogemeinschaft abzustellen sei. Dieser werde durch die Stufe respektive Unterklasse 10 repräsentiert (BVGer act. 10, Beilage 16, S. 10 und 13; BVGer act. 10, Beilage 8, S. 10 f.). Der Schadenverlauf spiele in diesem Zusammenhang keine Rolle. Die Vorinstanz sei darauf zu behaften, dass sie beim Abschluss des Vertrages Preisnachlässe im Gewand von unter den Durchschnittswerten liegenden Stufen respektive Unterklassen festgelegt habe.</w:t>
      </w:r>
    </w:p>
    <w:p>
      <w:r>
        <w:rPr>
          <w:b/>
        </w:rPr>
        <w:t>E. 5.4.2</w:t>
      </w:r>
    </w:p>
    <w:p>
      <w:r>
        <w:t>Die Vorinstanz wendet dagegen ein, der Endprämiensatz bei der Beschwerdeführerin habe im Jahr 2015 unterhalb der (Basis-)Endprämie der Risikogemeinschaft Pflegeheime (Krankenpflegeheime) gelegen. In Übereinstimmung mit den Vorgaben des BAG habe sie die Prämiensätze der Beschwerdeführerin an die vorgegebenen Endprämiensätze für Pflegeheime angenähert (BVGer act. 10, S. 7). In ihrer Duplik macht die Vorinstanz überdies geltend, sie sei auch dann zu einer Anpassung der Endprämie berechtigt, wenn - wie von der Beschwerdeführerin vorgebracht -der (Basis-)Endprämiensatz tiefer sein sollte als früher; denn allein die Tatsache, dass die Beschwerdeführerin vor dem Jahr 2016 unter dem Niveau der Endprämiensätze der Risikogemeinschaft Pflegeheime eingestuft gewesen sei, habe sie zur Angleichung der Prämiensätze an diese Risikogemeinschaft berechtigt (BVGer act. 17, S. 4). Ferner liege aufgrund der Vorgaben des BAG sowie der Neugestaltung des UVG-Tarifs der Solida eine erhebliche Änderung des Sachverhaltes vor, welche zu einer Erhöhung der Prämien Anlass gegeben habe (BVGer act. 17, S. 6).</w:t>
      </w:r>
    </w:p>
    <w:p>
      <w:r>
        <w:rPr>
          <w:b/>
        </w:rPr>
        <w:t>E. 5.4.3</w:t>
      </w:r>
    </w:p>
    <w:p>
      <w:r>
        <w:t>Soweit die Vorinstanz die Prämienerhöhung in ihrem Einspracheentscheid mit der Erfahrung der Risikogemeinschaft und demnach mit einer Änderung des Risikos - respektive in ihrer Duplik mit einer erheblichen Veränderung der Verhältnisse - begründet, ist ihr Folgendes entgegen zu halten: Wie bereits ausgeführt (E. 5.2.2 hievor), ist laut Tarif das Risiko der Risikogemeinschaft "Pflegeheime (Krankenpflegeheime)" in der BUV gleichgeblieben und in der NBUV gar gesunken. Spezifische Tatsachen oder Verhältnisse, welche eine Erhöhung der Stufe (BUV) respektive der Unterklasse (NBUV) zu rechtfertigen vermöchten, werden von der Vorinstanz nicht substanziiert vorgebracht oder gar nachgewiesen und sind aus den Akten auch nicht ersichtlich. Die "Branchenerfahrung mit der Risikogemeinschaft" (BVGer act. 3, Beilage, S. 4) nach dem Vertragsschluss und die nachträgliche Prämienerhöhung sind damit nicht nachvollziehbar begründet und überdies auch nicht belegt. In den massgeblichen Tarifen wird das Verfahren der Neueinreihung in allgemeiner Weise umschrieben beziehungsweise an fiktiven Beispielen dargelegt (vgl. für den Tarif 2014: BVGer act. 10, Beilage 8, S. 16 f. und S. 22, Anhänge 1.1 und 1.2 sowie Anhänge 2.1 und 2.2; für den Tarif 2016: BVGer act. 10, Beilage 16, S. 18 f. und S. 25 und 27, Anhänge 2.1 und 2.2). Fallbezogene Zahlen oder Daten, wie beispielsweise zur Erfahrungstarifierung der Risikogruppe "Pflegeheime (Krankenpflegeheime)", fehlen gänzlich. Eine konkrete Umsetzung des Verfahrens der Neueinreihung fand laut den vorliegenden Akten nicht statt. Daraus folgt, dass die Vorinstanz die Folgen der Beweislosigkeit zu tragen hat. Die Voraussetzungen für die Neueinreihung respektive für eine einseitige Vertragsanpassung liegen mithin nicht vor. Wenn und soweit die Vorinstanz demnach argumentiert, es sei nach Vertragsabschluss eine wesentliche Risikoänderung bekannt geworden, kann ihr nicht gefolgt werden, da eine solche nicht nachvollziehbar begründet und auch nicht belegt ist. Die Neueinreihung erweist sich demnach als rechtswidrig (vgl. hierzu auch Urteil C-1362/2016 E. 5.5.2). Unerheblich bleibt deshalb, dass in einem von Art. 92 Abs. 5 UVG erfassten Fall - welcher hier nicht vorliegt - die Beschwerdeführerin kein Kündigungsrecht hätte.</w:t>
      </w:r>
    </w:p>
    <w:p>
      <w:r>
        <w:rPr>
          <w:b/>
        </w:rPr>
        <w:t>E. 5.4.4</w:t>
      </w:r>
    </w:p>
    <w:p>
      <w:r>
        <w:t>Soweit die Vorinstanz vorbringt, dass bereits bei Vertragsabschluss aufgrund der Risikoerfahrung ein höheres Risiko bestanden habe und dass sich die Beschwerdeführerin in diesem Zusammenhang nicht auf den Vertrauensschutz berufen könne (BVGer act. 10, S. 8 f.), ist Folgendes festzuhalten: Das Bundesverwaltungsgericht geht davon aus, dass die ursprüngliche Einreihung im Zeitpunkt des Vertragsabschlusses rechtskonform und unter Wahrung der einschlägigen Prinzipien der Gegenseitigkeit und Risikogerechtigkeit zustande gekommen ist. Ferner geht es davon aus, dass sie sich bei der ursprünglichen Einreihung - im Rahmen des ihr zustehenden grossen Ermessens - auf objektive Kriterien gestützt hat. Es ist deshalb davon auszugehen, dass die ursprüngliche Einreihung insgesamt rechtskonform erfolgt ist (vgl. dazu Urteil C-1362/2016 E. 5.6). Konkrete Hinweise, welche auf eine ursprünglich fehlerhafte Einreihung schliessen liessen, sind auch aus den Akten nicht ersichtlich und werden von der Vorinstanz denn auch nicht substanziiert geltend gemacht. Die vorstehenden Überlegungen für den Fall der nachträglichen Erhöhung des Risikos (E. 5.4.3) gelten auch hier. Fallbezogene Zahlen oder Daten, welche eine ursprünglich falsche Einreihung belegen würden, wie zum Beispiel zur Erfahrungstarifierung der Risikogruppe "Pflegeheime (Krankenpflegeheime)", fehlen auch hier vollständig (vgl. Anhänge 1.1 und 1.2 des Tarifs 2014 [BVGer act. 10, Beilage 8, S. 16 f.]), ebenfalls Zahlen oder Daten zu den Schadenrückstellungen dieser Risikogruppe (vgl. Anhang 1.3, S. 18 f.). In den Akten finden sich dazu nur fiktive Beispiele (Anhänge 2.1 und 2.2; BVGer act. 10, Beilage 8, S. 22 und 24). Konkrete Zahlen für die Risikogruppe "Pflegeheime (Krankenpflegeheime)", auf welche sich die Vorinstanz stützen könnte, liegen keine vor. Weder in der Verfügung oder im angefochtenen Einspracheentscheid noch in der Vernehmlassung oder in der Duplik findet sich ein Aktenstück, welches die ursprüngliche Falscheinreihung respektive die Notwendigkeit der Neueinreihung im konkreten Fall mit Zahlen begründen oder belegen würde. Auch hier hat die Vorinstanz die Folgen der Beweislosigkeit zu tragen. Damit steht fest, dass die Voraussetzungen für eine Neueinreihung Sinne der Verfügung vom Oktober 2015 nicht gegeben sind. Auf Art. 92 Abs. 5 UVG kann sich die Vorinstanz im Falle einer ursprünglichen Falscheinreihung nicht berufen, sondern nur bei einer - vorliegend nicht ausgewiesenen - notwendigen neuen Einreihung.</w:t>
      </w:r>
    </w:p>
    <w:p>
      <w:r>
        <w:rPr>
          <w:b/>
        </w:rPr>
        <w:t>E. 5.5</w:t>
      </w:r>
    </w:p>
    <w:p>
      <w:r>
        <w:t>Die Beschwerdeführerin versteht sich als ein Kompetenzzentrum für (...Angaben zum Zweck gemäss Hompepage der Beschwerdeführerin). Bei der Beschwerdeführerin steht der (...Angaben zum Zweck) im Vordergrund. Ob es sich bei der Einreihung in die Risikogemeinschaft "Pflegeheime (Krankenpflegeheime)" um eine sachgerechte Zuweisung handelt, ist mit Blick auf diesen Zweck nicht ohne weiteres zu bejahen. Nachdem die Einreihung vorliegend indes nicht gerügt ist und damit nicht Streitgegenstand des vorliegenden Beschwerdeverfahrens bildet (vgl. E. 2.4 hievor), kann die Frage hier offengelassen werden.</w:t>
      </w:r>
    </w:p>
    <w:p>
      <w:r>
        <w:rPr>
          <w:b/>
        </w:rPr>
        <w:t>E. 5.6</w:t>
      </w:r>
    </w:p>
    <w:p>
      <w:r>
        <w:t>Zusammengefasst ergibt sich aus dem Gesagten, dass die Neueinreihung nicht nachvollziehbar begründet ist. Zudem wird die Verschlechterung des Risikos der Risikogemeinschaft zwar behauptet - einerseits nach Vertragsabschluss, andererseits schon bei Vertragsabschluss bestehend - aber nicht belegt. Deshalb kann sich die Vorinstanz bei der Neueinreihung auch nicht auf Buchstabe D ("Erfahrungstarifierung") Ziffer 1.2 des Tarifs (BVGer act. 10, Beilage 8, S. 13) stützen, wonach kleinere Betriebe bei schlechtem Verlauf des betreffenden Versicherungszweigs saniert werden dürfen. Die Neueinreihung der Beschwerdeführerin per 1. Januar 2016 ist insgesamt rechtswidrig. Die Voraussetzungen für eine einseitige Vertragsänderung liegen nicht vor. Der Einspracheentscheid ist damit ersatzlos aufzuheben und der Vertrag vom 2. Dezember 2013 gilt weiter.</w:t>
      </w:r>
    </w:p>
    <w:p>
      <w:r>
        <w:rPr>
          <w:b/>
        </w:rPr>
        <w:t>E. 6</w:t>
      </w:r>
    </w:p>
    <w:p>
      <w:r>
        <w:t>Replicando rügt die Beschwerdeführerin ergänzend, die Voraussetzungen für eine Erhöhung der übrigen Prämienbestandteile seien ebenfalls nicht geben (BVGer act. 15, S. 8 f.). Nachdem der Einspracheentscheid (welcher die angefochtene Verfügung ersetzt hat; vgl. dazu BGE 132 V 368 E. 6.1) ohnehin aufzuheben ist, erübrigt sich eine nähere Prüfung dieser Rüge. Festzuhalten bleibt, dass sich der Versicherer rechtsprechungsgemäss (BGE 131 V 439 E. 6) nicht auf Art. 113 Abs. 3 UVV beziehungsweise Art. 92 Abs. 5 UVG stützen kann, wenn er die übrigen Prämienbestandteile erhöhen will. Mit Blick auf das vorliegende Ergebnis braucht auch der von der Beschwerdeführerin erhobene Vorwurf des unlauteren Wettbewerbs respektive des Dumpings (Art. 2 und Art. 3 Abs. 1 Bst. f UWG; SR 241) und der Verletzung von Treu und Glauben im Sinne von Art. 9 BV (vgl. BVGer act. 15, S. 9) nicht mehr geprüft zu werden.</w:t>
      </w:r>
    </w:p>
    <w:p>
      <w:r>
        <w:rPr>
          <w:b/>
        </w:rPr>
        <w:t>E. 7</w:t>
      </w:r>
    </w:p>
    <w:p>
      <w:r>
        <w:t>Zu befinden bleibt über die Verfahrenskosten und eine allfällige Parteientschädigung.</w:t>
      </w:r>
    </w:p>
    <w:p>
      <w:r>
        <w:rPr>
          <w:b/>
        </w:rPr>
        <w:t>E. 7.1</w:t>
      </w:r>
    </w:p>
    <w:p>
      <w:r>
        <w:t>Gemäss Art. 63 Abs. 1 VwVG sind die Verfahrenskosten der unterliegenden Partei aufzuerlegen. Infolge Gutheissung der Beschwerde sind der Beschwerdeführerin keine Verfahrenskosten aufzuerlegen. Der von ihr geleistete Kostenvorschuss in der Höhe von Fr. 1'500.- ist ihr nach Rechtskraft des vorliegenden Urteils zurückzuerstatten. Der Vorinstanz werden ebenfalls keine Verfahrenskosten auferlegt (Art. 63 Abs. 2 VwVG).</w:t>
      </w:r>
    </w:p>
    <w:p>
      <w:r>
        <w:rPr>
          <w:b/>
        </w:rPr>
        <w:t>E. 7.2</w:t>
      </w:r>
    </w:p>
    <w:p>
      <w:r>
        <w:t>Die obsiegende, anwaltlich vertretene Beschwerdeführerin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die Parteientschädigung auf insgesamt Fr. 4'000.- festzusetzen (inkl. Auslagen und Mehrwertsteuer; Art. 9 Abs. 1 i.V.m. Art. 10 Abs. 2 VGKE). Die unterliegende Vorinstanz als Bundesbehörde hat keinen Anspruch auf eine Parteientschädigung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