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C-1362/2016 vom 23. März 2017</w:t>
      </w:r>
    </w:p>
    <w:p>
      <w:r>
        <w:t>Bundesverwaltungsgericht, 2017-03-23, DE</w:t>
      </w:r>
    </w:p>
    <w:p>
      <w:r>
        <w:rPr>
          <w:b/>
        </w:rPr>
        <w:t xml:space="preserve">Quelle: </w:t>
      </w:r>
      <w:r>
        <w:t>https://mcp.opencaselaw.ch/entscheid/bvger_C-1362_2016</w:t>
      </w:r>
    </w:p>
    <w:p>
      <w:r>
        <w:t>FR: TAF C-1362/2016 du 23 mars 2017</w:t>
      </w:r>
    </w:p>
    <w:p>
      <w:r>
        <w:t>IT: TAF C-1362/2016 del 23 marzo 2017</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B._______ AG ist als zugelassene Unfallversicherung mit öffentlich-rechtlichen Aufgaben des Bundes betraut und als solche eine Vorinstanz im Sinne von Art. 33 Bst. h VGG.</w:t>
      </w:r>
    </w:p>
    <w:p>
      <w:r>
        <w:rPr>
          <w:b/>
        </w:rPr>
        <w:t>E. 1.2</w:t>
      </w:r>
    </w:p>
    <w:p>
      <w:r>
        <w:t>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 Anfechtungsobjekt ist vorliegend der Einspracheentscheid der Vorinstanz vom 23. Dezember 2015, in welchem sie die Verfügung vom Oktober 2015 bestätigt, mit welcher der Beschwerdeführer in neue Gefahrenklassen, Stufen und Unterklassen eingereiht und der Endprämiensatz neu festgesetzt wurde. Somit ist das Bundesverwaltungsgericht für die Beurteilung der Streitsache zuständig. Soweit vorliegend jedoch die konkrete Festsetzung der Prämie und die Verletzung von Vertragsrecht geltend gemacht wird, ist das Bundesverwaltungsgericht für die Behandlung dieser Rügen nicht zuständig (zur Abgrenzung vgl. Urteil des Bundesgerichts U 18/03 vom 20. November 2003 E. 4.3.2).</w:t>
      </w:r>
    </w:p>
    <w:p>
      <w:r>
        <w:rPr>
          <w:b/>
        </w:rPr>
        <w:t>E. 1.3</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1.4</w:t>
      </w:r>
    </w:p>
    <w:p>
      <w:r>
        <w:t>Der Beschwerdeführer hat am vorinstanzlichen Verfahren teilgenom-men, ist als Adressat durch die angefochtene Einspracheverfügung vom 23. Dezember 2015 in besonderer Weise berührt und hat an deren Aufhebung oder Änderung ein schutzwürdiges Interesse (Art. 48 Abs. 1 VwVG; vgl. auch Art. 59 ATSG). Er ist zur Beschwerde legitimiert.</w:t>
      </w:r>
    </w:p>
    <w:p>
      <w:r>
        <w:rPr>
          <w:b/>
        </w:rPr>
        <w:t>E. 1.5</w:t>
      </w:r>
    </w:p>
    <w:p>
      <w:r>
        <w:t>Die Beschwerde wurde frist- und formgerecht eingereicht. Da auch der Kostenvorschuss von Fr. 1'500.- rechtzeitig bezahlt wurde, ist auf die Beschwerde mit Ausnahme der Rügen betreffend die konkrete Prämienfestsetzung und die Verletzung von Vertragsrecht (s. E. 1.2) einzutreten.</w:t>
      </w:r>
    </w:p>
    <w:p>
      <w:r>
        <w:rPr>
          <w:b/>
        </w:rPr>
        <w:t>E. 1.6</w:t>
      </w:r>
    </w:p>
    <w:p>
      <w:r>
        <w:t>Anfechtungs- und Streitgegenstand bildet somit die Neueinreihung in den Prämientarif. Der Beschwerdeführer macht dazu im Wesentlichen geltend, für die Neueinreihung und der damit verbundenen Prämienerhöhung lägen keine ausreichenden Gründe vor. Zudem dürfe sich die Neueinreihung nur auf den Risikoteil beziehen, nicht aber auf die übrigen Prämienbestandteile. Nicht bestritten wird die vertragliche Regelung, wonach dem Versicherten im Falle einer Kündigung nach Art. 92 Abs. 5 UVG kein Kündigungsrecht vor Vertragsablauf zusteht (vgl. B-act. 3 Beilage 1 S. 5).</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2.3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2.4</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3</w:t>
      </w:r>
    </w:p>
    <w:p>
      <w:r>
        <w:t>Zunächst sind die für die Einreihung der Betriebe wichtigsten gesetzlichen Bestimmungen, massgebenden Grundsätze sowie die massgeblichen Tarifbestimmungen wiederzugeben.</w:t>
      </w:r>
    </w:p>
    <w:p>
      <w:r>
        <w:rPr>
          <w:b/>
        </w:rPr>
        <w:t>E. 3.1</w:t>
      </w:r>
    </w:p>
    <w:p>
      <w:r>
        <w:t>Für die Durchführung der Unfallversicherung sind einheitliche Rechnungsgrundlagen zu verwenden. Der Bundesrat erlässt Richtlinien (Art. 89 Abs. 1 UVG).</w:t>
      </w:r>
    </w:p>
    <w:p>
      <w:r>
        <w:rPr>
          <w:b/>
        </w:rPr>
        <w:t>E. 3.2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3.3</w:t>
      </w:r>
    </w:p>
    <w:p>
      <w:r>
        <w:t>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92 Abs. 7 UVG; Art. 114 Abs. 1 der Verordnung über die Unfallversicherung vom 20. Dezember 1982 [UVV, SR 832.202]). Gemäss Art. 115 Abs. 1 UVV werden die Prämien - unter Vorbehalt der in den Bst. a bis d genannten Abweichungen - auf dem versicherten Verdienst im Sinne von Art. 22 Abs. 1 und 2 UVV erhoben.</w:t>
      </w:r>
    </w:p>
    <w:p>
      <w:r>
        <w:rPr>
          <w:b/>
        </w:rPr>
        <w:t>E. 3.4</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3.5</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3.6</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3.7</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3.8</w:t>
      </w:r>
    </w:p>
    <w:p>
      <w:r>
        <w:t>Laut dem hier anwendbaren Prämientarif der C._______, gültig ab dem 1. Januar 2014 (B-act. 10 Beilage 6), werden die Betriebe sowohl in der BUV als auch in der NBUV in Gefahrenklassen des Tarifs eingereiht. In der BUV erfolgt alsdann eine Einreihung in Stufen, in der NBUV eine Einreihung in Unterklassen. Eine nachträgliche höhere Einstufung in eine andere Gefahrenstufe ist bei Kleinbetrieben (ohne Erfahrungstarifierung) in der BUV und in der NBUV aufgrund von Sanierungen möglich (S. 4, 5). In Bst. C des Tarifs (S. 9 f.) wird die Berechnung der Prämiensätze in der BUV und der NBUV (Risikoprämie, Verwaltungskostenzusätze, Unfallverhütungsbeiträge, Prämienzuschläge für Teuerungszulagen) beschrieben. Laut Bst. D (S. 13 f.) können Kleinbetriebe - ein solcher ist vorliegend der Beschwerdeführer - bei schlechtem Verlauf des Versicherungszweigs saniert, d.h. in eine BUV-Stufe bzw. eine NBUV-Unterklasse höher als 10 eingereiht werden. Dabei wird empfohlen, die nachstehenden Regeln anzuwenden. Weiter wird in Bst. D der Rhythmus der Erfahrungstarifierung, die Beobachtungsperiode und die Kalkulation beschreiben (S. 14, 15). Im Anhang zum Tarif werden u. a. fiktive Berechnungsbeispiele dargestellt.</w:t>
      </w:r>
    </w:p>
    <w:p>
      <w:r>
        <w:rPr>
          <w:b/>
        </w:rPr>
        <w:t>E. 4.1</w:t>
      </w:r>
    </w:p>
    <w:p>
      <w:r>
        <w:t>Der Beschwerdeführer macht zwar nicht explizit eine Verletzung des rechtlichen Gehörs infolge einer mangelhaften Begründung geltend. Immerhin führt er in der Replik (B-act. 12) aus, dass eine Anfechtung der Anpassung der Prämienzuschläge erst nach Einsicht in die Vernehmlassung möglich gewesen sei, da die Aufschlüsselung der Endprämien in die einzelnen Prämienkomponenten bis und mit dem Einspracheentscheid nicht offengelegt worden sei (S. 2, 3). Eine substantiierte Anfechtung sei so - unter Hinweis auf BGE 124 II 149 E. 2a -- nicht möglich gewesen. Diese Ausführungen beinhalten die Rüge, durch eine mangelhafte Begründung des angefochtenen Einspracheentscheids sei das rechtliche Gehör des Beschwerdeführers verletzt worden, was nachfolgend zu prüfen ist.</w:t>
      </w:r>
    </w:p>
    <w:p>
      <w:r>
        <w:rPr>
          <w:b/>
        </w:rPr>
        <w:t>E. 4.2</w:t>
      </w:r>
    </w:p>
    <w:p>
      <w:r>
        <w:t>Der Anspruch auf rechtliches Gehör (Art. 29 Abs. 2 BV; Art. 42 Abs. 2 ATSG; Art. 29 VwVG) dient einerseits der Sachaufklärung, andererseits stellt das rechtliche Gehör ein persönlichkeitsbezogenes Mitwirkungsrecht beim Erlass eines Entscheids dar, welcher in die Rechtsstellung einer Person eingreift (BGE 132 V 368 E. 3.1 mit Hinweisen). Die Begründungspflicht, die betreffend Einspracheentscheiden auch in Art. 52 Abs. 2 ATSG verankert ist, soll verhindern, dass sich die Behörde von unsachlichen Motiven leiten lässt, und es den Betroffenen ermöglichen, den Entscheid gegebenenfalls sachgerecht anzufechten (Urteil EVG I 3/05 vom 17. Juni 2005, publiziert in SVR 2006 IV Nr. 27, E. 3.1.3; vgl. auch BGE 124 V 180 E. 1a; Urteil BVGer C-278/2007 vom 26. September 2008, E. 4.1).</w:t>
      </w:r>
    </w:p>
    <w:p>
      <w:r>
        <w:rPr>
          <w:b/>
        </w:rPr>
        <w:t>E. 4.3</w:t>
      </w:r>
    </w:p>
    <w:p>
      <w:r>
        <w:t>Eine nicht besonders schwerwiegende Verletzung des rechtlichen Gehörs kann ausnahmsweise als geheilt gelten, wenn die betroffene Person die Möglichkeit erhält, sich vor einer Beschwerdeinstanz zu äussern, die sowohl den Sachverhalt wie die Rechtslage frei überprüfen kann (BGE 127 V 431 E. 3d/aa, BGE 115 V 297 E. 2h). Von einer Rückweisung der Sache zur Gewährung des rechtlichen Gehörs an die Verwaltung kann im Sinne einer Heilung des Mangels selbst bei einer schwerwiegenden Verletzung des rechtlichen Gehörs abgesehen werden, wenn und soweit die Rückweisung zu einem formalistischen Leerlauf und damit zu unnötigen Verzögerungen führen würde, die mit dem Interesse der betroffenen Partei an einer beförderlichen Beurteilung der Sache nicht zu vereinbaren wären (BGE 116 V 182 E. 3d).</w:t>
      </w:r>
    </w:p>
    <w:p>
      <w:r>
        <w:rPr>
          <w:b/>
        </w:rPr>
        <w:t>E. 4.4</w:t>
      </w:r>
    </w:p>
    <w:p>
      <w:r>
        <w:t>Die Vorinstanz nennt die Gründe für die Erhöhung der Risikoprämie in den Ziffern 11 und 12 ihres Einsprachentscheids (B-act. 10 Beilage 15), wie sie in ihrer Vernehmlassung ausführt (B-act. 10 Ziff. 4). Sie verweist auf die Notwendigkeit der risikogerechten Abstufung von Prämien, die Bildung von Risikoeinheiten, die Erhöhung der Zahl und der Kosten der Unfälle, die Risikoerfahrung in der Branche und auf die Notwendigkeit kostendeckender Prämiensätze. Diese Begründung ist zwar kurz, aber dennoch vorliegend für eine sachgerechte Anfechtung des Entscheides ausreichend, auch wenn eine Aufschlüsselung der verschiedenen Prämienbestandteile in Verletzung von Art. 120 Abs. 1 der Verordnung über die Unfallversicherung vom 20. Dezember 1982 (UVV, SR 832.202) nicht erfolgt ist. Höhere Anforderungen an die Begründungspflicht wären beispielsweise dann zu stellen, wenn der Verwaltung infolge Ermessen und unbestimmter Rechtsbegriffe ein Spielraum eingeräumt ist (siehe BGE 127 V 431 E. 2) oder ein besonders komplexer Sachverhalt zu beurteilen ist (Urteil EVG I 3/05 E. 3.2). Solche Umstände, welche eine detailliertere Entscheidbegründung erfordert hätten, lagen hier nicht vor (vgl. dazu Urteil des BVGer C-278/2007 vom 26. September 2008 E. 4.2).</w:t>
      </w:r>
    </w:p>
    <w:p>
      <w:r>
        <w:rPr>
          <w:b/>
        </w:rPr>
        <w:t>E. 4.5</w:t>
      </w:r>
    </w:p>
    <w:p>
      <w:r>
        <w:t>Soweit also die Beschwerdeführerin rügt, die Vorinstanz habe nie in nachvollziehbarer Weise begründet, weshalb die Beschwerdeführerin eine Erhöhung der Risikoprämie vorgenommen hat, steht nicht die aus dem Anspruch auf rechtliches Gehör fliessende Begründungspflicht in Frage, sondern die Rechtmässigkeit der Einreihung. Die Vorinstanz hat demnach den Anspruch der Beschwerdeführerin auf rechtliches Gehör in Bezug auf die Hauptsache, der Erhöhung der Risikoprämie, nicht verletzt.</w:t>
      </w:r>
    </w:p>
    <w:p>
      <w:r>
        <w:rPr>
          <w:b/>
        </w:rPr>
        <w:t>E. 4.6</w:t>
      </w:r>
    </w:p>
    <w:p>
      <w:r>
        <w:t>Nicht gefolgt werden kann deshalb auch den Ausführungen des Beschwerdeführers in der Replik, wonach die Verfügung nichtig sei, da die Einzelkomponenten der angepassten Prämien nicht offengelegt worden seien (B-act. 12 Ziff. 2). Nichtigkeit ist nur unter ganz bestimmten eng umschriebenen Vorrausetzungen anzunehmen. Nach ständiger Rechtsprechung ist eine fehlerhafte Verfügung nach Art. 5 Abs. 1 VwVG nur ausnahmsweise nichtig, wenn der Mangel besonders schwer und offensichtlich oder zumindest leicht erkennbar ist; zudem darf die Rechtssicherheit durch die Annahme der Nichtigkeit nicht ernsthaft gefährdet sein. Als Nichtigkeitsgründe fallen vorab die funktionelle und sachliche Unzuständigkeit der entscheidenden Behörde sowie krasse Verfahrensfehler in Betracht. Nur ausserordentlich schwerwiegende inhaltliche Mängel führen zur Nichtigkeit (BGE 138 III 49 E. 4.4.3 S. 56; Urteil des BGer 9C_320/2014 vom 29. Januar 2015 E. 4.1 mit Hinweisen). Als nichtig wäre namentlich eine Verfügung anzusehen, die einen unmöglichen Inhalt hat, bei der die Fehlerhaftigkeit an ihr selbst zum Ausdruck kommt, bei tatsächlicher Unmöglichkeit des Vollzugs oder wenn sie unklar oder unbestimmt ist (Urteil des BGer 5P.178/2003 vom 2. Juni 2003 E. 3.2). Eine unzureichend begründete Verfügung stellt aber keinen Nichtigkeitsgrund dar (vgl. Urteil des BGer 2A.61/2006 vom 2. März 2006 E. 2.2, Urteil des BVGer C-7527/2014 vom 12. August 2015 E. 2.2). Die mangelnde explizite Aufteilung der Prämienbestandteile führt hier nicht zur Nichtigkeit der Verfügung.</w:t>
      </w:r>
    </w:p>
    <w:p>
      <w:r>
        <w:rPr>
          <w:b/>
        </w:rPr>
        <w:t>E. 4.7</w:t>
      </w:r>
    </w:p>
    <w:p>
      <w:r>
        <w:t>Die Vorinstanz hat nebst den Risikoprämien auch die Prämien für den Verwaltungskostenzuschlag, für den Unfallverhütungsbeitrag, für den Umlagebeitrag und für die Teuerungszulagen erhöht. Dazu hat sie sich weder in der Verfügung noch im Einspracheentscheid geäussert. Deshalb stellt sich die Frage, ob eine Begründung für die Erhöhung dieser "übrigen Prämienbestandteile" hätte erfolgen müssen, um eine Verletzung des rechtlichen Gehörs zu vermeiden. Da diese "übrigen Prämienbestandteile" in Prozenten des Risikotarifs erhoben werden, ist dies nach Auffassung des Gerichts nach einer prima vista Prüfung zu verneinen, da der Grund für die Erhöhung leicht nachvollzogen werden kann. Deshalb kann davon ausgegangen werden, dass die Vorinstanz auch in Bezug auf diese "übrigen Prämienbestandteile" das rechtliche Gehör nicht verletzt hat. Eine eingehendere Prüfung kann aufgrund der nachstehenden Erwägungen 5 unterbleiben, ebenso die Prüfung der Frage, ob allenfalls eine Heilung im Sinne der konstanten Rechtsprechung des Bundesgerichts möglich wäre.</w:t>
      </w:r>
    </w:p>
    <w:p>
      <w:r>
        <w:rPr>
          <w:b/>
        </w:rPr>
        <w:t>E. 5</w:t>
      </w:r>
    </w:p>
    <w:p>
      <w:r>
        <w:t>Den Akten lässt sich im Wesentlichen folgender Sachverhalt entnehmen:</w:t>
      </w:r>
    </w:p>
    <w:p>
      <w:r>
        <w:rPr>
          <w:b/>
        </w:rPr>
        <w:t>E. 5.1</w:t>
      </w:r>
    </w:p>
    <w:p>
      <w:r>
        <w:t>Am 1. Januar 2016 setzte die C._______ einen neuen Tarif in Kraft (B-act. 10 Beilage 16) und ersetzte damit ihren Tarif vom 1. Januar 2014. Im neuen Tarif wurden "Bürobetriebe (nur Administration)" neu in die Gefahrenklasse 712 (BUV) und 186 (NBUV) eingeteilt (B-act. 10 Beilage 17). Die Vorinstanz übernahm die durch die C._______ erfolgte Einreihung des Beschwerdeführers in die Gefahrenklasse. Gleichzeitig per 1. Januar 2016 hat die Vorinstanz - in Eigenverantwortung - den Betrieb neu in die Stufe 10 (BUV) und in die Unterklasse 10 (NBUV) - dem Durchschnittswert - eingereiht, es erfolgte also bei der BUV eine Erhöhung um 3 Stufen, in der NBUV eine Erhöhung um 5 Unterklassen, was jeweils eine massive Erhöhung des Prämiensatzes zur Folge hatte. In der Verfügung wurde dies mit der gestiegenen Lebenserwartung und mit der Zunahme der Behandlungskosten begründet (B-act. 10 Beilage 13). In ihrem Einspracheentscheid (B-act. 10 Beilage 15) begründet die Vorinstanz die Erhöhung sinngemäss mit der Erfahrung der Risikogemeinschaft (der Beschwerdeführer ist ein Kleinbetrieb) und damit, dass die Zahl und Kosten der Unfälle gestiegen seien und die Prämien ohne eine Erhöhung die Kosten künftig nicht mehr hätten decken können. In der Vernehmlassung und in der Duplik verwies die Vorinstanz sodann auf den neuen Tarif der C._______ (B-act. 10 Beilage 16) sowie auf ein Schreiben des BAG vom 26. Februar 2015 (B-act. 10 Beilage 10), welche beide Anlass geboten hätten, die Prämiensätze aller Betriebe zu überprüfen (B-act. 10 Ziff. 11; B-act. 14 Ziff. 8). Im Schreiben des BAG wurde die Vorinstanz aufgefordert, die Nettoprämiensätze des Tarifs so festzulegen, dass keine systematische Querfinanzierung zwischen Risikoklassen entstehe.</w:t>
      </w:r>
    </w:p>
    <w:p>
      <w:r>
        <w:rPr>
          <w:b/>
        </w:rPr>
        <w:t>E. 5.2</w:t>
      </w:r>
    </w:p>
    <w:p>
      <w:r>
        <w:t>Nachfolgend sind die einzelnen Rügen des Beschwerdeführers zur neuen Einreihung zu prüfen.</w:t>
      </w:r>
    </w:p>
    <w:p>
      <w:r>
        <w:rPr>
          <w:b/>
        </w:rPr>
        <w:t>E. 5.2.1</w:t>
      </w:r>
    </w:p>
    <w:p>
      <w:r>
        <w:t>Der Beschwerdeführer rügt, die Erhöhung der Prämie lasse sich nicht mit der Einführung des neuen Tarifs der C.______ begründen. In der BUV seien die Tarifprämien unverändert geblieben, in der NBUV seien sie sogar gesenkt worden. Die Prämienerhöhung lasse sich deshalb nicht mit der gestiegenen Lebenserwartung und mit der Zunahme der Behandlungskosten der Risikogemeinschaft begründen. Die behaupteten höheren Schadenaufwendungen hätten sich im Risikotarif niederschlagen müssen, was eben nicht der Fall gewesen sei.</w:t>
      </w:r>
    </w:p>
    <w:p>
      <w:r>
        <w:rPr>
          <w:b/>
        </w:rPr>
        <w:t>E. 5.2.2</w:t>
      </w:r>
    </w:p>
    <w:p>
      <w:r>
        <w:t>Den Akten ist zu entnehmen, dass der Beschwerdeführer in der Gefahrenklassifikation des Tarifs einer neuen Nummer (712 in der BUV, 186 in der NBUV) zugeteilt wurde. Der Prämiensatz in der BUV veränderte sich dabei nicht (0,89 in der Stufe 10 [B-act. 10 Beilagen 7, 17]). In der NBUV sank er von 10,83 auf 9,76, wobei sich der ursprüngliche Promillesatz von 10,83 (ungeschwärzter Teil von Beilage 7) sogar auf die Unterklasse 8 bezogen hatte (ohne nähere Erläuterung ist nicht nachvollziehbar, warum hier die Stufe 8 und nicht, wie üblich, die Stufe 10 referenziert wird) und demnach in der Stufe 10 noch höher gewesen sein musste. Inwieweit sich die Vorinstanz unter diesen Umständen bei der Neueinreihung, verbunden mit einer Prämienerhöhung, auf den Tarif berufen will, kann deshalb nicht nachvollzogen werden. In den Akten finden sich keine Hinweise dafür, dass sich die von der Vorinstanz geltend gemachte gestiegene Lebenserwartung oder die geltend gemachte Zunahme der Behandlungskosten im Prämientarif der C._______ in der Risikogemeinschaft "Büro (nur Administration)" niedergeschlagen hätte. In der NBUV ist der Beschwerdeführer sogar in einer deutlich geringeren Gefahrenklasse eingereiht worden (B-act. 10 Beilagen 7, 17). Insgesamt lässt sich die Neueinreihung in die höhere Stufe bzw. in die höhere Unterklasse - in Eigenverantwortung der Vorinstanz - nicht mit dem neuen Tarif begründen. In der Vernehmlassung und in der Duplik macht die Vorinstanz denn auch nicht mehr hauptsächlich geltend, der neue Tarif sei Grund für die Prämienerhöhung (vgl. Ziffern 10-11 des Einspracheentscheides), sondern sei Anlass gewesen, die Einreihung zu überprüfen. Allerdings wird auch in der Duplik in Ziff. 16 noch geltend gemacht, die Prämienerhöhung sei - unter Geltendmachung der clausula rebus sic stantibus - auf den neuen Tarif zurückzuführen, was aufgrund der Akten nicht nachvollzogen werden kann. Insgesamt kann die Neueinreihung bzw. die Prämienerhöhung nicht auf den neuen Tarif zurückgeführt werden.</w:t>
      </w:r>
    </w:p>
    <w:p>
      <w:r>
        <w:rPr>
          <w:b/>
        </w:rPr>
        <w:t>E. 5.3.1</w:t>
      </w:r>
    </w:p>
    <w:p>
      <w:r>
        <w:t>Weiter rügt der Beschwerdeführer, die Vorinstanz mache zu Unrecht geltend, eine Anpassung der Endprämie sei aufgrund der Vorgaben des BAG nötig gewesen. Es sei nicht Aufgabe des BAG, gesellschaftsindividuelle Prämien zu genehmigen. Das Schreiben des BAG vom 26. Februar 2015 (B-act. 10 Beilage 10) tauge nicht als Begründung für die angefochtene Prämienerhöhung (B-act. 12 S. 7). Selbst wenn das BAG die Vorinstanz angewiesen hätte, tarifmässige Prämien zu verlangen, könnte dies nicht als Grund für einen Verstoss gegen die Vertragstreue dienen.</w:t>
      </w:r>
    </w:p>
    <w:p>
      <w:r>
        <w:rPr>
          <w:b/>
        </w:rPr>
        <w:t>E. 5.3.2</w:t>
      </w:r>
    </w:p>
    <w:p>
      <w:r>
        <w:t>Die Vorinstanz macht dazu geltend, dieser Aussage des Beschwerdeführers müsse widersprochen werden. Das BAG habe die Vorinstanz in ihrem Schreiben vom 26. Februar 2015 aufgefordert, die Risikoprämeine so festzulegen, dass sie den Nettoprämien der Risikoklasse entsprächen. Eine Anpassung sei vorliegend unumgänglich gewesen. Zudem sei der UVG-Tarif sehr wohl von der Aufsichtsbehörde genehmigt worden (B-act. 14 Ziff. 10, 11).</w:t>
      </w:r>
    </w:p>
    <w:p>
      <w:r>
        <w:rPr>
          <w:b/>
        </w:rPr>
        <w:t>E. 5.3.3</w:t>
      </w:r>
    </w:p>
    <w:p>
      <w:r>
        <w:t>Der Charakter des Schreibens des BAG vom 26. Februar 2015 kann hier offen bleiben; es könnte sich um eine reine Empfehlung handeln oder um eine Anweisung (i.e.S.) zu einem bestimmten Tun aufgrund festgestellter genereller Mängel. Keinesfalls ist es eine Anweisung an die Vorinstanz, in einem individuell-konkreten Fall eine Neueinreihung vorzunehmen. Somit beinhaltet dieses Schreiben an die Vorinstanz keine Erlaubnis, von der Rechtsordnung abzuweichen und ohne Begründung und ohne Belege einseitig einen Vertrag abzuändern. Die Prüfung der Rechtmässigkeit einer individuell-konkreten Neueinreihung bleibt im Übrigen dem Bundesverwaltungsgericht vorbehalten (Art. 109 Bst. b UVG).</w:t>
      </w:r>
    </w:p>
    <w:p>
      <w:r>
        <w:rPr>
          <w:b/>
        </w:rPr>
        <w:t>E. 5.4.1</w:t>
      </w:r>
    </w:p>
    <w:p>
      <w:r>
        <w:t>Zuletzt macht der Beschwerdeführer geltend, die Neueinreihung (Stufe 10 in der BUV, Unterklasse 10 in der NBUV) entspreche zwar dem Durchschnittswert der Risikogemeinschaft "Büro (nur Administration)" bzw. 100% der Risikoprämie (Basisprämie), führe jedoch vorliegend zu einer massiven Prämienerhöhung, da der Betrieb vorher in der Stufe 7 (BUV) und in der Unterklasse 5 (NBUV) eingereiht gewesen sei. Diese Neueinreihung lasse sich nicht begründen. Die Vorinstanz mache zwar als Grund die Erfahrung der Risikogemeinschaft geltend, wonach die Anzahl und die Kosten der Unfälle gestiegen seien, Diese Kostensteigerung sei jedoch durch nichts belegt. Im Gegenteil hätte eine allfällige Erhöhung von Zahl und Kosten der Unfälle sich im Tarif niederschlagen müssen, was nicht der Fall gewesen sei.</w:t>
      </w:r>
    </w:p>
    <w:p>
      <w:r>
        <w:rPr>
          <w:b/>
        </w:rPr>
        <w:t>E. 5.4.2</w:t>
      </w:r>
    </w:p>
    <w:p>
      <w:r>
        <w:t>Die von der Vorinstanz eingereichten Rechtsschriften lassen zur hauptsächlichen Begründung für die Neueinreihung, nämlich der "Risikoerfahrung in der Branche", zwei unterschiedliche Interpretationen zu. Einerseits scheint sie geltend machen zu wollen, nach Vertragsabschluss sei aufgrund der Erfahrungstarifierung ein erhöhtes Risiko bekannt geworden (vgl. dazu nachfolgend E. 5.5). Andererseits scheint sie geltend machen zu wollen, bei Vertragsabschluss sei das erhöhte Risiko bereits bekannt gewesen (vgl. dazu nachfolgend E. 5.6).</w:t>
      </w:r>
    </w:p>
    <w:p>
      <w:r>
        <w:rPr>
          <w:b/>
        </w:rPr>
        <w:t>E. 5.5.1</w:t>
      </w:r>
    </w:p>
    <w:p>
      <w:r>
        <w:t>In der Duplik (B-act. 14 Ziff. 17) beruft die Vorinstanz sich ausdrücklich auf die nicht vorhersehbare Tarifänderung per 1. Januar 2016. Diese Ausführungen sind so zu interpretieren, dass die Vorinstanz geltend macht, nach Vertragsabschluss seien aufgrund der Risikoerfahrungen in der Branche wesentliche zusätzliche Risiken bekannt geworden, welche eine einseitige Prämienerhöhung im Sinne von Art. 92 Abs. 5 UVG als notwendig haben erscheinen lassen.</w:t>
      </w:r>
    </w:p>
    <w:p>
      <w:r>
        <w:rPr>
          <w:b/>
        </w:rPr>
        <w:t>E. 5.5.2</w:t>
      </w:r>
    </w:p>
    <w:p>
      <w:r>
        <w:t>Wie bereits festgestellt, ist laut Tarif das Risiko der Risikogemeinschaft "Bürobetrieb (nur Administration)" in der BUV gleichgeblieben, in der NBUV gesunken (vgl. vorne E. 7.1.2). Auch das Schreiben des BAG rechtfertigt die Neueinreihung nicht (vgl. vorne E. 7.2.3). Es befinden sich in den Akten auch keine sonstigen Unterlagen, welche die Erhöhung der Stufe bzw. der Unterklasse - in Eigenverantwortung der Vorinstanz - als gerechtfertigt erscheinen liessen. Die "Risikoerfahrung in der Branche" nach Vertragsabschluss bzw. die nachträgliche Prämienerhöhung ist weder nachvollziehbar begründet noch belegt. Das Verfahren für eine Neueinreihung wird zwar anhand von Beispielen beschrieben. Fallbezogene Zahlen oder Daten, z. B. zur Erfahrungstarifierung der Risikogruppe "Administration (nur Büro)" fehlen vollständig (vgl. Anhang 1.1. des Tarifs 2014 [B-act. 10 Beilage 6 S. 16, 17), ebenfalls Zahlen oder Daten zu den Schadenrückstellungen dieser Risikogruppe (vgl. Anhang 1.3 S. 18, 19). In den Akten finden sich dazu nur fiktive Beispiele (Anhang 2). Konkret umgesetzt wurde das Verfahren für die Neueinreihung laut Akten nicht. Die Ausführungen der Vorinstanz sind durch nichts belegt. Damit hat die Vorinstanz die Folgen der Beweislosigkeit zu tragen. Die Voraussetzungen für die Neueinreihung bzw. für eine einseitige Vertragsanpassung - mit Art. 92 Abs. 5 UVG als gesetzliche Grundlage - liegen nicht vor. Falls also die Vorinstanz geltend machen will, dass nach Vertragsabschluss eine erhebliche Risikoerhöhung bekannt geworden sei, so ist dies weder nachvollziehbar begründet noch belegt und ist die Neueinreihung rechtswidrig. Unerheblich bleibt deshalb, dass in einem durch Art. 92 Abs. 5 UVG gedeckten Fall - welcher hier nicht vorliegt - der Beschwerdeführer kein Kündigungsrecht hätte.</w:t>
      </w:r>
    </w:p>
    <w:p>
      <w:r>
        <w:rPr>
          <w:b/>
        </w:rPr>
        <w:t>E. 5.6.1</w:t>
      </w:r>
    </w:p>
    <w:p>
      <w:r>
        <w:t>In der Vernehmlassung bzw. in der Duplik legt die Vorinstanz in genereller Art und Weise ausführlich dar, wie die Einreihung zu erfolgen hat (Stichwort: Risikoerfahrung der Branche). Sie weist darauf hin, dass der Beschwerdeführer aufgrund des beschriebenen Verfahrens habe höher eingereiht werden müssen. Sie führt also sinngemäss aus, bereits bei Vertragsabschluss - und nicht nach Vertragsabschluss - habe aufgrund der Risikoerfahrung in der Branche ein höheres Risiko bestanden.</w:t>
      </w:r>
    </w:p>
    <w:p>
      <w:r>
        <w:rPr>
          <w:b/>
        </w:rPr>
        <w:t>E. 5.6.2</w:t>
      </w:r>
    </w:p>
    <w:p>
      <w:r>
        <w:t>Das Gericht geht davon aus, dass die ursprüngliche Einreihung der ursprüngliche Vertragsschluss rechtskonform und unter Wahrung der einschlägigen Prinzipien der Gegenseitigkeit und Risikogerechtigkeit zustande gekommen ist. Weiter geht es davon aus, dass sie sich bei der ursprünglichen Einreihung - im Rahmen des ihr zustehenden grossen Ermessens - auf objektive Kriterien gestützt hat. Das Gericht geht deshalb davon aus, dass die ursprüngliche Einreihung insgesamt rechtskonform erfolgte. In den Akten finden sich keine konkreten Hinweise, welche darauf schliessen liessen, dass die ursprüngliche Einreihung fehlerhaft gewesen wäre. Die obigen Überlegungen für den Fall der nachträglichen Erhöhung des Risikos (E. 7.4) gelten auch hier. In der Vernehmlassung und in der Duplik wird zwar in allgemeiner Weise das Verfahren für eine Einreihung erläutert. Fallbezogene Zahlen oder Daten, welche eine ursprünglich falsche Einreihung belegen würden, z.B. zur Erfahrungstarifierung der Risikogruppe "Administration (nur Büro)", fehlen vollständig (vgl. Anhang 1.1. des Tarifs 2014 [B-act. 10 Beilage 6 S. 16, 17), ebenfalls Zahlen oder Daten zu den Schadenrückstellungen dieser Risikogruppe (vgl. Anhang 1.3 S. 18, 19). In den Akten finden sich dazu nur fiktive Beispiele (Anhang 2). Konkrete Zahlen für die Risikogruppe "Büro (nur Administration)", auf welche sich die Vorinstanz stützen könnte, liegen keine vor. Weder in der Verfügung oder im angefochtenen Einspracheentscheid noch in der Vernehmlassung oder in der Duplik befindet sich ein Aktenstück, welches die ursprüngliche Falscheinreihung bzw. die Notwendigkeit der Neueinreihung im konkreten Fall mit Zahlen begründen oder belegen würde. Auch hier hat die Vorinstanz die Folgen der Beweislosigkeit zu tragen. Somit sind die Voraussetzungen für eine Neueinreihung im vorgenommenen Sinne nicht gegeben. Auf Art. 92 Abs. 5 UVG kann sich die Vorinstanz im Falle einer ursprünglichen Falscheinreihung nach Auffassung des Gerichts nicht berufen, sondern nur bei einer - vorliegend nicht vorhandenen - notwendigen neuen Einreihung.</w:t>
      </w:r>
    </w:p>
    <w:p>
      <w:r>
        <w:rPr>
          <w:b/>
        </w:rPr>
        <w:t>E. 5.7</w:t>
      </w:r>
    </w:p>
    <w:p>
      <w:r>
        <w:t>Insgesamt ist die Neueinreihung nicht nachvollziehbar begründet. Zudem wird die Verschlechterung des Risikos der Risikogemeinschaft zwar behauptet - einerseits nach Vertragsabschluss, andererseits schon bei Vertragsabschluss bestehend - aber nicht belegt. Deshalb kann sich die Vorinstanz bei der Neueinreihung auch nicht auf Buchstabe D ("Erfahrungstarifierung") Ziffer 1.2 des Tarifs (B-act. 10 Beilage 6) stützen, wonach kleinere Betriebe bei schlechtem Verlauf des betreffenden Versicherungszweigs saniert werden dürfen. Die Neueinreihung der Beschwerdeführerin per 1. Januar 2016 ist insgesamt rechtswidrig. Die Voraussetzungen für eine einseitige Vertragsänderung liegen nicht vor. Der Einspracheentscheid ist damit ersatzlos aufzuheben und der Vertrag vom 16. März 2015 gilt weiter. Bei diesem Ergebnis ist die vom Beschwerdeführer gerügte Unangemessenheit des Aufschlags nicht zu mehr prüfen.</w:t>
      </w:r>
    </w:p>
    <w:p>
      <w:r>
        <w:rPr>
          <w:b/>
        </w:rPr>
        <w:t>E. 6</w:t>
      </w:r>
    </w:p>
    <w:p>
      <w:r>
        <w:t>Replikweise rügt der Beschwerdeführer ergänzend, die Voraussetzungen für eine Erhöhung der übrigen Prämienbestandteile lägen ebenfalls nicht vor (B-act. 12 Ziff.). Nachdem die Verfügung ohnehin aufzuheben ist, erübrigt sich eine nähere Prüfung dieser Rüge. Festzuhalten bleibt, dass laut BGE 131 V 439 E. 6 sich der Versicherer nicht auf Art. 113 Abs. 3 UVV bzw. Art. 92 Abs. 5 UVG stützen kann, wenn er die übrigen Prämienbestandteile erhöhen will.</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Infolge Gutheissung der Beschwerde sind dem Beschwerdeführer keine Verfahrenskosten aufzuerlegen. Der von ihm geleistete Kostenvorschuss in der Höhe von Fr. 1'500.- ist ihm nach Rechtskraft des vorliegenden Urteils zurückzuerstatten. Der Vorinstanz werden ebenfalls keine Verfahrenskosten auferlegt (Art. 63 Abs. 2 VwVG).</w:t>
      </w:r>
    </w:p>
    <w:p>
      <w:r>
        <w:rPr>
          <w:b/>
        </w:rPr>
        <w:t>E. 7.2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auf insgesamt Fr. 4'000.- festzusetzen (inkl. Auslagen und Mehrwertsteuer; Art. 9 Abs. 1 in Verbindung mit Art. 10 Abs. 2 VGKE). Die unterliegende Vorinstanz als Bundesbehörde (BGE 127 V 205)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