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C-1361/2016 vom 5. Oktober 2017</w:t>
      </w:r>
    </w:p>
    <w:p>
      <w:r>
        <w:t>Bundesverwaltungsgericht, 2017-10-05, DE</w:t>
      </w:r>
    </w:p>
    <w:p>
      <w:r>
        <w:rPr>
          <w:b/>
        </w:rPr>
        <w:t xml:space="preserve">Quelle: </w:t>
      </w:r>
      <w:r>
        <w:t>https://mcp.opencaselaw.ch/entscheid/bvger_C-1361_2016</w:t>
      </w:r>
    </w:p>
    <w:p>
      <w:r>
        <w:t>FR: TAF C-1361/2016 du 5 octobre 2017</w:t>
      </w:r>
    </w:p>
    <w:p>
      <w:r>
        <w:t>IT: TAF C-1361/2016 del 5 ottobre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UVG (SR 832.20) ausdrücklich geregelt. Anfechtungsobjekt ist vorliegend der Einspracheentscheid der Vorinstanz vom 23. Dezember 2015, der die Verfügung vom Oktober 2015 bestätigt, mit welcher die Beschwerdeführerin in neue Gefahrenklassen, Stufen und Unterklassen eingereiht und der Endprämiensatz neu festgesetzt wurde. Somit ist das Bundesverwaltungsgericht für die Beurteilung der Streitsache zuständig. Soweit vorliegend jedoch die konkrete Festsetzung der Prämie gerügt und die Verletzung von Vertragsrecht geltend gemacht wird, ist das Bundesverwaltungsgericht für die Behandlung dieser Rügen nicht zuständig (zur Abgrenzung vgl. Urteil des EVG [Eidgenössisches Versicherungsgericht, heute: Bundesgericht] U 18/03 vom 20. November 2003 E. 4.3.2).</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ATSG (SR 830.1).</w:t>
      </w:r>
    </w:p>
    <w:p>
      <w:r>
        <w:rPr>
          <w:b/>
        </w:rPr>
        <w:t>E. 1.4</w:t>
      </w:r>
    </w:p>
    <w:p>
      <w:r>
        <w:t>Die Beschwerdeführerin hat am vorinstanzlichen Verfahren teilgenom-men, ist als Adressatin durch die angefochtene Einspracheverfügung vom 23. Dezember 2015 in besonderer Weise berührt und hat an deren Aufhebung oder Änderung ein schutzwürdiges Interesse (Art. 48 Abs. 1 VwVG; vgl. auch Art. 59 ATSG). Sie ist zur Beschwerde legitimiert.</w:t>
      </w:r>
    </w:p>
    <w:p>
      <w:r>
        <w:rPr>
          <w:b/>
        </w:rPr>
        <w:t>E. 1.5</w:t>
      </w:r>
    </w:p>
    <w:p>
      <w:r>
        <w:t>Die Beschwerde wurde frist- und formgerecht eingereicht (Art. 50 Abs. 1 i.V.m. Art. 21 Abs. 2 und 22a Abs. 1 Bst. c VwVG; vgl. auch Art. 60 Abs. 1 und Abs. 2 i.V.m. Art. 38 Abs. 4 Bst. c und 39 Abs. 2 ATSG). Da auch der Kostenvorschuss von Fr. 1'500.- rechtzeitig überwiesen wurde, ist auf die Beschwerde - mit Ausnahme der Rügen betreffend die konkrete Prämienfestsetzung und die Verletzung von Vertragsrecht (siehe E. 1.2 hievor) - einzutreten.</w:t>
      </w:r>
    </w:p>
    <w:p>
      <w:r>
        <w:rPr>
          <w:b/>
        </w:rPr>
        <w:t>E. 1.6</w:t>
      </w:r>
    </w:p>
    <w:p>
      <w:r>
        <w:t>Anfechtungs- und Streitgegenstand bildet nach dem Gesagten die Neueinreihung in den Prämientarif. Die Beschwerdeführerin macht dazu im Wesentlichen geltend, für die Neueinreihung und der damit verbundenen Prämienerhöhung lägen keine ausreichenden Gründe vor. Zudem dürfe sich die Neueinreihung nur auf den Risikoteil beziehen, nicht aber auf die übrigen Prämienbestandteile. Nicht bestritten wird die vertragliche Regelung, wonach dem Versicherten im Falle einer Kündigung nach Art. 92 Abs. 5 UVG kein Kündigungsrecht vor Vertragsablauf zusteht.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rügen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w:t>
      </w:r>
    </w:p>
    <w:p>
      <w:r>
        <w:rPr>
          <w:b/>
        </w:rPr>
        <w:t>E. 3</w:t>
      </w:r>
    </w:p>
    <w:p>
      <w:r>
        <w:t>Zunächst sind die für die Einreihung der Betriebe wichtigsten gesetzlichen Bestimmungen, massgebenden Grundsätze sowie die massgeblichen Tarifbestimmungen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(vgl. Art. 115 Abs. 1, Art. 22 Abs. 1 und 2 der Verordnung über die Unfallversicherung vom 20. Dezember 1982 [UVV, SR 832.202]).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UVV).</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Bei der Prämienbemessung ist weiter das in Art. 61 Abs. 2 UVG vorgesehene Prinzip der Gegenseitigkeit zu berücksichtigen. Dieses Prinzip verlangt, dass die Suva und die anderen an der obligatorischen Unfallversicherung beteiligten Versicherer (vgl. dazu Art. 68 UVG) einerseits keine Gewinne aus dem Versicherungsgeschäft erzielen und andererseits finanziell autonom sein sollen.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3.6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3.8</w:t>
      </w:r>
    </w:p>
    <w:p>
      <w:r>
        <w:t>Laut dem hier anwendbaren Prämientarif der Solida, gültig ab dem 1. Januar 2014 (BVGer-act. 10, Beilage 6), werden die Betriebe sowohl in der BUV als auch in der NBUV in Gefahrenklassen des Tarifs eingereiht. In der BUV erfolgt alsdann eine Einreihung in Stufen, in der NBUV eine Einreihung in Unterklassen. Eine nachträgliche höhere Einstufung in eine andere Gefahrenstufe ist bei Kleinbetrieben (ohne Erfahrungstarifierung) in der BUV und in der NBUV aufgrund von Sanierungen möglich (S. 4 f.). In Bst. C des Tarifs (S. 9 f.) wird die Berechnung der Prämiensätze in der BUV (Risikoprämie, Verwaltungskostenzusätze, Unfallverhütungsbeiträge, Prämienzuschläge für Teuerungszulagen) beschrieben. Laut Bst. D (S. 13 f.) können Kleinbetriebe - ein solcher ist vorliegend die Beschwerdeführerin - bei schlechtem Verlauf des Versicherungszweigs saniert, das heisst in eine BUV-Stufe respektive eine NBUV-Unterklasse höher als 10 eingereiht werden. Weiter wird in Bst. D der Rhythmus der Erfahrungstarifierung, die Beobachtungsperiode und die Kalkulation beschrieben (S. 14 f.). Im Anhang zum Tarif werden u. a. fiktive Berechnungsbeispiele dargestellt.</w:t>
      </w:r>
    </w:p>
    <w:p>
      <w:r>
        <w:rPr>
          <w:b/>
        </w:rPr>
        <w:t>E. 4.1</w:t>
      </w:r>
    </w:p>
    <w:p>
      <w:r>
        <w:t>Die Beschwerdeführerin macht nicht explizit eine Verletzung des rechtlichen Gehörs infolge einer mangelhaften Begründung geltend. Indes führt sie in der Replik aus, dass eine Anfechtung der Anpassung der Prämienzuschläge erst nach Einsicht in die Vernehmlassung möglich gewesen sei, da die Aufschlüsselung der Endprämien in die einzelnen Prämienkomponenten bis und mit dem Einspracheentscheid nicht offengelegt worden sei. Eine substanziierte Anfechtung sei so - unter Hinweis auf BGE 124 II 149 E. 2a - nicht möglich gewesen (BVGer-act. 13, S. 3 f.). Diese Ausführungen beinhalten die Rüge, durch eine mangelhafte Begründung des angefochtenen Einspracheentscheides sei das rechtliche Gehör der Beschwerdeführerin verletzt worden, was nachfolgend zu prüfen ist.</w:t>
      </w:r>
    </w:p>
    <w:p>
      <w:r>
        <w:rPr>
          <w:b/>
        </w:rPr>
        <w:t>E. 4.2.1</w:t>
      </w:r>
    </w:p>
    <w:p>
      <w:r>
        <w:t>Das rechtliche Gehör (vgl. dazu Art. 29 Abs. 2 BV; Art. 42 Abs. 2 ATSG; Art. 29 VwVG)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4.2.2</w:t>
      </w:r>
    </w:p>
    <w:p>
      <w:r>
        <w:t>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4.3</w:t>
      </w:r>
    </w:p>
    <w:p>
      <w:r>
        <w:t>Die Vorinstanz hat die Gründe für die Erhöhung der Risikoprämie in den Ziffern 11 und 12 der Erwägungen ihres Einspracheentscheides (BVGer-act. 10, Beilage 18) dargelegt (vgl. dazu BVGer-act. 10, S. 4). Sie verweist auf die Notwendigkeit der risikogerechten Abstufung von Prämien, die Bildung von Risikogemeinschaften und die Notwendigkeit des Abstellens auf die Gesamtheit der in der Risikogemeinschaft zusammengefassten Risikoeinheiten. Die Branchenerfahrung mit der Risikogemeinschaft habe zur Folge, dass für die Beschwerdeführerin sowohl eine höhere BU-Stufe als auch eine höhere NBU-Unterklasse habe festgelegt werden müssen. Diese Begründung ist zwar kurz, aber dennoch vorliegend für eine sachgerechte Anfechtung des Entscheides ausreichend, auch wenn eine Aufschlüsselung der verschiedenen Prämienbestandteile in Verletzung von Art. 120 Abs. 1 UVV nicht erfolgt ist. Höhere Anforderungen an die Begründungspflicht wären beispielsweise dann zu stellen, wenn der Verwaltung infolge Ermessen und unbestimmter Rechtsbegriffe ein Spielraum eingeräumt würde (siehe BGE 127 V 431 E. 2) oder ein besonders komplexer Sachverhalt zu beurteilen wäre (Urteil des EVG I 3/05 vom 17. Juni 2005 E. 3.2). Solche Umstände, welche eine detailliertere Entscheidbegründung erfordert hätten, lagen hier nicht vor (vgl. dazu Urteil des BVGer C-1362/2016 vom 23. März 2017 E. 4.4 m.H.). Soweit also die Beschwerdeführerin rügt, die Vorinstanz habe nie in nachvollziehbarer Weise begründet, weshalb sie eine Erhöhung der Risikoprämie vorgenommen hat, steht nicht die aus dem Anspruch auf rechtliches Gehör fliessende Begründungspflicht in Frage, sondern die Rechtmässigkeit der Einreihung. Daraus folgt, dass die Vorinstanz den Gehörsanspruch der Beschwerdeführerin hinsichtlich der Hauptsache - der Erhöhung der Risikoprämie - nicht verletzt hat.</w:t>
      </w:r>
    </w:p>
    <w:p>
      <w:r>
        <w:rPr>
          <w:b/>
        </w:rPr>
        <w:t>E. 4.4</w:t>
      </w:r>
    </w:p>
    <w:p>
      <w:r>
        <w:t>Nicht gefolgt werden kann deshalb auch den Ausführungen der Beschwerdeführerin in der Replik, wonach die Verfügung nichtig sei, da die Einzelkomponenten der angepassten Prämien nicht offengelegt worden seien (BVGer-act. 13, S. 3 f.). Nichtigkeit ist nur unter ganz bestimmten, eng umschriebenen Vorrausetzungen anzunehmen.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(vgl. dazu Häfelin/Müller/Uhlmann, Allgemeines Verwaltungsrecht, 7. Aufl. 2016, Rz. 1102 ff.; BGE 138 III 49 E. 4.4.3 S. 56; Urteil des BGer 9C_320/2014 vom 29. Januar 2015 E. 4.1 m.H.). Als nichtig wäre namentlich eine Verfügung anzusehen, die einen unmöglichen Inhalt hat, bei der die Fehlerhaftigkeit an ihr selbst zum Ausdruck kommt, bei tatsächlicher Unmöglichkeit des Vollzugs oder wenn sie unklar oder unbestimmt ist (Urteil des EVG 5P.178/2003 vom 2. Juni 2003 E. 3.2). Eine unzureichend begründete Verfügung stellt aber keinen Nichtigkeitsgrund dar (vgl. Urteil des BGer 2A.61/2006 vom 2. März 2006 E. 2.2; Urteil des BVGer C-7527/2014 vom 12. August 2015 E. 2.2). Die mangelnde explizite Aufteilung der Prämienbestandteile hat demnach keine Nichtigkeit der Verfügung respektive des Einspracheentscheides zur Folge (Urteile des BVGer C-1362/2016 E. 4.6 und C-1363/2016 E. 4.4).</w:t>
      </w:r>
    </w:p>
    <w:p>
      <w:r>
        <w:rPr>
          <w:b/>
        </w:rPr>
        <w:t>E. 4.5</w:t>
      </w:r>
    </w:p>
    <w:p>
      <w:r>
        <w:t>Die Vorinstanz hat nebst den Risikoprämien auch die Prämien für den Verwaltungskostenzuschlag, für den Unfallverhütungsbeitrag, für den Umlagebeitrag und für die Teuerungszulagen erhöht. Dazu hat sie sich weder in der Verfügung noch im Einspracheentscheid geäussert. Deshalb stellt sich die Frage, ob eine Begründung für die Erhöhung dieser "übrigen Prämienbestandteile" hätte erfolgen müssen, um eine Verletzung des rechtlichen Gehörs zu vermeiden. Das Bundesverwaltungsgericht hat diese Frage kürzlich in zwei - ebenfalls die Vorinstanz betreffenden - gleich gelagerten Fällen im Ergebnis gestützt auf eine prima-vista-Prüfung verneint mit der Begründung, dass die "übrigen Prämienbestandteile" in Prozenten des Risikotarifs erhoben würden, sodass der Grund für die Erhöhung leicht nachvollzogen werden könne. Auf eine eingehendere Prüfung konnte indes mit Blick auf die nachfolgenden Erwägungen ebenso verzichtet werden wie auf die Beurteilung der Frage, ob allenfalls eine Heilung möglich wäre (Urteile des BVGer C-1362/2016 E. 4.7 und C-1363/2016 E. 4.5). Dies gilt auch im vorliegenden Fall, welcher bezüglich dieser Frage den genannten Urteilen gleich gelagert ist.</w:t>
      </w:r>
    </w:p>
    <w:p>
      <w:r>
        <w:rPr>
          <w:b/>
        </w:rPr>
        <w:t>E. 5</w:t>
      </w:r>
    </w:p>
    <w:p>
      <w:r>
        <w:t>Nachfolgend sind die einzelnen Rügen der Beschwerdeführerin zur neuen Einreihung zu prüfen.</w:t>
      </w:r>
    </w:p>
    <w:p>
      <w:r>
        <w:rPr>
          <w:b/>
        </w:rPr>
        <w:t>E. 5.1</w:t>
      </w:r>
    </w:p>
    <w:p>
      <w:r>
        <w:t>Aufgrund der Akten ist im Wesentlichen von folgendem Sachverhalt auszugehen: Am 1. Januar 2016 setzte die Solida einen neuen Tarif in Kraft (BVGer-act. 10, Beilage 19) und ersetzte damit ihren Tarif vom 1. Januar 2014. Im neuen Tarif wurden Immobilienhandels-, Immobilienvermittelungs- und Immobilienverwaltungsbetriebe neu in die Gefahrenklassen 410 (BUV; bisher: 41) und 280 (NBUV; bisher: 12) eingeteilt (BVGer-act. 10, Beilage 20 und Beilage 19, S. 10 und 12). Die Vorinstanz übernahm die durch die Solida vorgenommene Einreihung der Beschwerdeführerin. Gleichzeitig reihte die Vorinstanz die Beschwerdeführerin - in Eigenverantwortung - per 1. Januar 2016 neu in die Stufe 10 (BUV; 1.95 perthousand) und in die Unterklasse 10 (NBUV; 14.61 perthousand) - den Durchschnittswert - ein. Es erfolgte also bei der BUV eine Erhöhung um drei Stufen (Stufe 7 auf 10) und bei der NBUV eine Erhöhung um fünf Klassen (Erhöhung von Unterklasse 5 auf Unterklasse 10). In ihrem Einspracheentscheid begründet die Vorinstanz die Erhöhung sinngemäss mit der Erfahrung der Risikogemeinschaft und damit, dass die Zahl und die Kosten der Unfälle gestiegen seien und die Prämien ohne eine Erhöhung die Kosten künftig nicht mehr hätten gedeckt werden können. In ihrer Vernehmlassung und Duplik verweist die Vorinstanz zur Begründung der Prämienerhöhung insbesondere auf den neuen Tarif der Solida (BVGer-act. 10, Beilage 19) sowie auf ein Schreiben des BAG vom 26. Februar 2015 (BVGer-act. 10, Beilage 11), welche beide zu einer Überprüfung der Prämiensätze aller Betriebe Anlass gegeben hätten (BVGer-act. 10, S. 4-8; BVGer-act. 17, S. 4). Im Schreiben des BAG wurde die Vorinstanz aufgefordert, die Nettoprämiensätze des Tarifs so festzulegen, dass keine systematische Querfinanzierung zwischen Risikoklassen entstehe.</w:t>
      </w:r>
    </w:p>
    <w:p>
      <w:r>
        <w:rPr>
          <w:b/>
        </w:rPr>
        <w:t>E. 5.2.1</w:t>
      </w:r>
    </w:p>
    <w:p>
      <w:r>
        <w:t>Die Beschwerdeführerin macht zunächst geltend, die Erhöhung der Prämie lasse sich nicht mit der Einführung des neuen Tarifs der Solida begründen. In der BUV seien die Tarifprämien unverändert geblieben, währenddem sie in der NBUV gar gesenkt worden seien. Die von der Vorinstanz auferlegte signifikante Prämienerhöhung lasse sich demnach nicht auf die Einführung des neuen Tarifs zurückführen. Bezüglich der NBU-Prämie wäre im Gegenteil eine Prämiensenkung zu erwarten gewesen. Die Prämienerhöhung lasse sich deshalb nicht mit der gestiegenen Lebenserwartung und mit der Zunahme der Behandlungskosten der Risikogemeinschaft begründen. Die behaupteten höheren Schadenaufwendungen hätten sich im Risikotarif niederschlagen müssen, was eben nicht der Fall gewesen sei (BVGer-act. 13, S. 4).</w:t>
      </w:r>
    </w:p>
    <w:p>
      <w:r>
        <w:rPr>
          <w:b/>
        </w:rPr>
        <w:t>E. 5.2.2</w:t>
      </w:r>
    </w:p>
    <w:p>
      <w:r>
        <w:t>Aus den Akten geht hervor, dass die Beschwerdeführerin in der Gefahrenklassifikation des Tarifs einer neuen Nummer (410 in der BUV, 280 in der NBUV) zugeteilt wurde. Der Prämiensatz in der BUV veränderte sich dabei nicht (1.95 perthousand in der Stufe 10 [vgl. dazu BVGer-act. 10, Beilage 6, S. 9 sowie BVGer-act. 10, Beilage 19, S. 9]). In der NBUV sank er von 16.23 perthousand auf 14.61 perthousand (BVGer-act. 10, Beilage 6, S. 11 und BVGer-act. 10 sowie BVGer-act. 10, Beilage 7 [ungeschwärzter Teil]). Soweit sich die Vorinstanz bei der Neueinreihung, verbunden mit einer Prämienerhöhung, auf den Tarif beruft, vermag dieser keine nachvollziehbare und rechtsgenügliche Grundlage hierfür zu begründen. In den Akten finden sich keine Hinweise dafür, dass sich die von der Vorinstanz geltend gemachte gestiegene Lebenserwartung oder die geltend gemachte Zunahme der Behandlungskosten im Prämientarif der Solida in der Risikogemeinschaft "Immobilienhandel, -vermittlung bzw. -verwaltung" niedergeschlagen hätte. In der NBUV ist die Beschwerdeführerin gar in einer geringeren Gefahrenklasse eingereiht worden. Daraus folgt, dass sich die Neueinreihung in die höhere Stufe respektive in die höhere Unterklasse in Eigenverantwortung der Vorinstanz nicht mit dem neuen Tarif begründen lässt. In der Vernehmlassung und Duplik macht die Vorinstanz denn auch nicht mehr hauptsächlich geltend, der neue Tarif sei Grund für die Prämienerhöhung gewesen. Insgesamt kann die Neueinreihung beziehungsweise die Prämienerhöhung nicht auf den neuen Tarif zurückgeführt werden (vgl. die analoge ebenfalls die Vorinstanz betreffende Konstellation in den Urteilen des BVGer C-1362/2016 E. 5.2.2 und C-1363/2016 E. 5.2.2).</w:t>
      </w:r>
    </w:p>
    <w:p>
      <w:r>
        <w:rPr>
          <w:b/>
        </w:rPr>
        <w:t>E. 5.3.1</w:t>
      </w:r>
    </w:p>
    <w:p>
      <w:r>
        <w:t>Im Weiteren bringt die Beschwerdeführerin vor, die Vorinstanz könne aus dem Schreiben des BAG vom 26. Februar 2015 (BVGer-act. 10, Beilage 11) - worin sich die Aufsichtsbehörde generell gegen eine Quersubventionierung zwischen den Risikoklassen wende - nichts zu ihren Gunsten ableiten. Aus dem Schreiben des BAG gehe insbesondere nicht hervor, inwiefern die beanstandete Quersubventionierung auch auf die Gefahrenklasse "Immobilienhandel, -vermittlung bzw. -verwaltung" zutreffe. Es sei nicht Aufgabe des BAG, gesellschaftsindividuelle Prämien zu genehmigen, und eine präventive Prämienkontrolle sehe das UVG nicht vor. Selbst wenn das BAG die Vorinstanz angewiesen hätte, tarifmässige Prämien zu verlangen, könnte dies nicht als Grund für einen Verstoss gegen die Vertragstreue dienen (BVGer-act. 13, S. 7).</w:t>
      </w:r>
    </w:p>
    <w:p>
      <w:r>
        <w:rPr>
          <w:b/>
        </w:rPr>
        <w:t>E. 5.3.2</w:t>
      </w:r>
    </w:p>
    <w:p>
      <w:r>
        <w:t>Die Vorinstanz wendet dagegen ein, dass das BAG sie im erwähnten Schreiben aufgefordert habe, die Risikoprämien der bei ihr versicherten Betriebe dergestalt festzulegen, dass diese den Nettoprämien der Risikoklassen entsprechen würden. Nachdem die Beschwerdeführerin zu tiefe Nettoprämiensätze aufgewiesen habe, die nicht der Risikoklasse des Immobilienbetriebs entsprochen hätten, sei eine Anpassung unumgänglich gewesen. Überdies sei der UVG-Tarif sehr wohl von der Aufsichtsbehörde überprüft und legitimiert worden (BVGer-act. 17, S. 6).</w:t>
      </w:r>
    </w:p>
    <w:p>
      <w:r>
        <w:rPr>
          <w:b/>
        </w:rPr>
        <w:t>E. 5.3.3</w:t>
      </w:r>
    </w:p>
    <w:p>
      <w:r>
        <w:t>Ob es sich beim Schreiben des BAG vom 26. Februar 2015 um eine reine Empfehlung oder um eine Anweisung zu einem bestimmten Tun aufgrund festgestellter genereller Mängel gehandelt hat, kann hier offenbleiben. Jedenfalls handelt es sich nicht um eine Anweisung an die Vorinstanz, in einem individuell-konkreten Fall eine Neueinreihung vorzunehmen. Somit beinhaltet dieses Schreiben an die Vorinstanz keine Erlaubnis, von der Rechtsordnung abzuweichen und ohne Begründung wie auch ohne Belege einen Vertrag einseitig abzuändern. Die Prüfung der Rechtmässigkeit einer individuell-konkreten Neueinreihung bleibt im Übrigen dem Bundesverwaltungsgericht vorbehalten (Art. 109 Bst. b UVG; so auch die Urteile des BVGer C-1362/2016 E. 5.3.3 und C-1363/2016 E. 5.3.3).</w:t>
      </w:r>
    </w:p>
    <w:p>
      <w:r>
        <w:rPr>
          <w:b/>
        </w:rPr>
        <w:t>E. 5.4.1</w:t>
      </w:r>
    </w:p>
    <w:p>
      <w:r>
        <w:t>Schliesslich rügt die Beschwerdeführerin, für sie als Kleinbetrieb falle zwar eine Erfahrungstarifierung ausser Betracht, sodass im Grundsatz auf den Durchschnittswert der entsprechenden Risikogemeinschaft abzustellen sei. Dieser werde durch die Stufe respektive Unterklasse 10 repräsentiert. Die bisherige Schadenfreiheit spiele in diesem Zusammenhang keine Rolle. Die Vorinstanz sei aber darauf zu behaften, dass sie beim Abschluss des Vertrages Preisnachlässe in Form von unter den Durchschnittswerten liegenden Stufen respektive Unterklassen festgelegt habe (BVGer-act. 13, S. 4).</w:t>
      </w:r>
    </w:p>
    <w:p>
      <w:r>
        <w:rPr>
          <w:b/>
        </w:rPr>
        <w:t>E. 5.4.2</w:t>
      </w:r>
    </w:p>
    <w:p>
      <w:r>
        <w:t>Die Vorinstanz wendet dagegen ein, der Endprämiensatz bei der Beschwerdeführerin habe bei Vertragsbeginn unterhalb der (Basis-)Endprämie der Risikogemeinschaft der Immobilienbetriebe gelegen. Daraus lasse sich indes kein unbefristeter Vertrauensschutz für die Zukunft ableiten. Vielmehr müsse es ihr aufgrund ihres Ermessensspielraums möglich sein, Anpassungen der Prämiensätze für die Zukunft vorzunehmen, zumal die Prämien für allfällige Schadenfälle kostendeckend sein müssten. In Übereinstimmung mit den Vorgaben des BAG habe sie die Prämiensätze der Beschwerdeführerin erhöht, damit diese die vorgegebenen Endprämiensätze für Immobilienhandels, Immobilienvermittlungs- resp. Immobilienverwaltungsbetriebe habe erreichen können. Ferner liege aufgrund der Vorgaben des BAG sowie der Neugestaltung des UVG-Tarifs der Solida eine erhebliche Änderung des Sachverhaltes vor, welche zu einer Erhöhung der Prämien Anlass gegeben habe (BVGer-act. 10, S. 7; BVGer-act. 17, S. 4 ff.).</w:t>
      </w:r>
    </w:p>
    <w:p>
      <w:r>
        <w:rPr>
          <w:b/>
        </w:rPr>
        <w:t>E. 5.4.3</w:t>
      </w:r>
    </w:p>
    <w:p>
      <w:r>
        <w:t>Soweit die Vorinstanz die Prämienerhöhung in ihrem Einspracheentscheid mit der Erfahrung der Risikogemeinschaft und demnach mit einer Änderung des Risikos - respektive in ihrer Duplik mit einer erheblichen Veränderung der Verhältnisse - begründet, ist ihr Folgendes entgegen zu halten: Wie bereits ausgeführt (E. 5.2.2 hievor), ist laut Tarif das Risiko der Risikogemeinschaft "Immobilienhandel, -vermittlung bzw. -verwaltung" in der BUV gleichgeblieben und in der NBUV gar gesunken. Spezifische Tatsachen oder Verhältnisse, welche eine Erhöhung der Stufe (BUV) respektive der Unterklasse (NBUV) zu rechtfertigen vermöchten, werden von der Vorinstanz nicht substanziiert vorgebracht oder gar nachgewiesen und sind aus den Akten auch nicht ersichtlich. Die "Branchenerfahrung mit der Risikogemeinschaft" nach dem Vertragsschluss und die nachträgliche Prämienerhöhung sind damit nicht nachvollziehbar begründet. In den massgeblichen Tarifen wird das Verfahren der Neueinreihung in allgemeiner Weise umschrieben beziehungsweise an fiktiven Beispielen dargelegt (vgl. für den Tarif 2014: BVGer-act. 10, Beilage 6, S. 16 f. und S. 22 ff.; für den Tarif 2016: BVGer-act. 10, Beilage 19, S. 18 f. und S. 25ff.). Fallbezogene Zahlen oder Daten, wie beispielsweise zur Erfahrungstarifierung der Risikogruppe "Immobilienhandel, -vermittlung bzw. -verwaltung", fehlen gänzlich. Eine konkrete Umsetzung des Verfahrens der Neueinreihung fand laut den vorliegenden Akten nicht statt. Daraus folgt, dass die Vorinstanz die Folgen der Beweislosigkeit zu tragen hat. Die Voraussetzungen für die Neueinreihung respektive für eine einseitige Vertragsanpassung liegen mithin nicht vor. Wenn und soweit die Vorinstanz demnach argumentiert, es sei nach Vertragsabschluss eine wesentliche Risikoänderung bekannt geworden, kann ihr nicht gefolgt werden, da eine solche nicht nachvollziehbar begründet und auch nicht belegt ist. Die Neueinreihung erweist sich demnach als rechtswidrig (vgl. hierzu auch die Urteile des BVGer C-1362/2016 E. 5.5.2 und C-1363/2016 E. 5.4.3). Unerheblich bleibt deshalb, dass in einem von Art. 92 Abs. 5 UVG erfassten Fall - welcher hier nicht vorliegt - die Beschwerdeführerin kein Kündigungsrecht hätte.</w:t>
      </w:r>
    </w:p>
    <w:p>
      <w:r>
        <w:rPr>
          <w:b/>
        </w:rPr>
        <w:t>E. 5.4.4</w:t>
      </w:r>
    </w:p>
    <w:p>
      <w:r>
        <w:t>Soweit die Vorinstanz vorbringt, dass bereits bei Vertragsabschluss aufgrund der Risikoerfahrung ein höheres Risiko bestanden habe und sich die Beschwerdeführerin in diesem Zusammenhang nicht auf den Vertrauensschutz berufen könne (BVGer-act. 17 S. 4), ist Folgendes festzuhalten: Das Bundesverwaltungsgericht geht davon aus, dass die ursprüngliche Einreihung im Zeitpunkt des Vertragsabschlusses rechtskonform und unter Wahrung der einschlägigen Prinzipien der Gegenseitigkeit und Risikogerechtigkeit zustande gekommen ist. Ferner geht es davon aus, dass sich die Vorinstanz bei der ursprünglichen Einreihung - im Rahmen des ihr zustehenden grossen Ermessens - auf objektive Kriterien gestützt hat. Es ist deshalb davon auszugehen, dass die ursprüngliche Einreihung insgesamt rechtskonform erfolgt ist (vgl. dazu die Urteile C-1362/2016 E. 5.6 und C-1363/2016 E. 5.4.4). Konkrete Hinweise, welche auf eine ursprünglich fehlerhafte Einreihung schliessen liessen, sind auch aus den Akten nicht ersichtlich und werden von der Vorinstanz denn auch nicht substanziiert geltend gemacht. Die vorstehenden Überlegungen für den Fall der nachträglichen Erhöhung des Risikos (E. 5.4.3) gelten auch hier. Fallbezogene Zahlen oder Daten, welche eine ursprünglich falsche Einreihung belegen würden, wie zum Beispiel zur Erfahrungstarifierung der Risikogruppe "Immobilienhandel, -vermittlung bzw. -verwaltung", fehlen auch hier vollständig, ebenfalls Zahlen oder Daten zu den Schadenrückstellungen dieser Risikogruppe. In den Akten finden sich dazu nur fiktive Beispiele (BVGer-act. 10, Beilagen 6 und 19). Konkrete Zahlen für die Risikogruppe "Immobilienhandel, -vermittlung bzw. -verwaltung", auf welche sich die Vorinstanz stützen könnte, liegen keine vor. Weder in der Verfügung oder im angefochtenen Einspracheentscheid noch in der Vernehmlassung oder in der Duplik findet sich ein Aktenstück, welches die ursprüngliche Falscheinreihung respektive die Notwendigkeit der Neueinreihung im konkreten Fall mit Zahlen begründen oder belegen würde. Auch hier hat die Vorinstanz die Folgen der Beweislosigkeit zu tragen. Damit steht fest, dass die Voraussetzungen für eine Neueinreihung Sinne der Verfügung vom Oktober 2015 nicht gegeben sind. Auf Art. 92 Abs. 5 UVG kann sich die Vorinstanz im Falle einer ursprünglichen Falscheinreihung nicht berufen, sondern nur bei einer - vorliegend nicht ausgewiesenen - notwendigen neuen Einreihung.</w:t>
      </w:r>
    </w:p>
    <w:p>
      <w:r>
        <w:rPr>
          <w:b/>
        </w:rPr>
        <w:t>E. 5.5</w:t>
      </w:r>
    </w:p>
    <w:p>
      <w:r>
        <w:t>Zusammengefasst ergibt sich aus dem Gesagten, dass die Neueinreihung der Beschwerdeführerin nicht nachvollziehbar begründet ist.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(BVGer-act. 10, Beilage 6, S. 13) stützen, wonach kleinere Betriebe bei schlechtem Verlauf des betreffenden Versicherungszweigs saniert werden dürfen. Die Neueinreihung der Beschwerdeführerin per 1. Januar 2016 ist insgesamt rechtswidrig. Die Voraussetzungen für eine einseitige Vertragsänderung liegen nicht vor. Der Einspracheentscheid ist damit ersatzlos aufzuheben und der Vertrag vom 18. Februar 2015 gilt weiterhin.</w:t>
      </w:r>
    </w:p>
    <w:p>
      <w:r>
        <w:rPr>
          <w:b/>
        </w:rPr>
        <w:t>E. 6</w:t>
      </w:r>
    </w:p>
    <w:p>
      <w:r>
        <w:t>Replikweise rügt die Beschwerdeführerin ergänzend, die Voraussetzungen für eine Erhöhung der übrigen Prämienbestandteile seien ebenfalls nicht gegeben (BVGer-act. 13, S. 7 ff.). Nachdem der Einspracheentscheid (welcher die angefochtene Verfügung ersetzt hat; vgl. dazu BGE 132 V 368 E. 6.1) ohnehin aufzuheben ist, erübrigt sich eine nähere Prüfung dieser Rüge. Festzuhalten bleibt, dass sich der Versicherer rechtsprechungsgemäss (BGE 131 V 439 E. 6) nicht auf Art. 113 Abs. 3 UVV beziehungsweise Art. 92 Abs. 5 UVG stützen kann, wenn er die übrigen Prämienbestandteile erhöhen will. Mit Blick auf das vorliegende Ergebnis braucht auch der von der Beschwerdeführerin erhobene Vorwurf des unlauteren Wettbewerbs respektive des Dumpings (Art. 2 und Art. 3 Abs. 1 Bst. f UWG; SR 241) und der Verletzung von Treu und Glauben im Sinne von Art. 9 BV (vgl. BVGer-act. 13, S. 8) nicht mehr geprüft zu werden.</w:t>
      </w:r>
    </w:p>
    <w:p>
      <w:r>
        <w:rPr>
          <w:b/>
        </w:rPr>
        <w:t>E. 7</w:t>
      </w:r>
    </w:p>
    <w:p>
      <w:r>
        <w:t>Zu befinden bleibt über die Verfahrenskosten und eine allfällige Parteientschädigung.</w:t>
      </w:r>
    </w:p>
    <w:p>
      <w:r>
        <w:rPr>
          <w:b/>
        </w:rPr>
        <w:t>E. 7.1</w:t>
      </w:r>
    </w:p>
    <w:p>
      <w:r>
        <w:t>Gemäss Art. 63 Abs. 1 VwVG sind die Verfahrenskosten der unterliegenden Partei aufzuerlegen. Infolge Gutheissung der Beschwerde sind der Beschwerdeführerin keine Verfahrenskosten aufzuerlegen. Der von ihr geleistete Kostenvorschuss in der Höhe von Fr. 1'500.- ist ihr nach Rechtskraft des vorliegenden Urteils zurückzuerstatten.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i.V.m. Art. 10 Abs. 2 VGKE). Die unterliegende Vorinstanz hat als Bundesbehörde keinen Anspruch auf eine Parteientschädigung (Art. 64 Abs. 1 VwVG i.V.m.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