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C-1337/2011 vom 21. August 2012</w:t>
      </w:r>
    </w:p>
    <w:p>
      <w:r>
        <w:t>Bundesverwaltungsgericht, 2012-08-21, FR</w:t>
      </w:r>
    </w:p>
    <w:p>
      <w:r>
        <w:rPr>
          <w:b/>
        </w:rPr>
        <w:t xml:space="preserve">Quelle: </w:t>
      </w:r>
      <w:r>
        <w:t>https://mcp.opencaselaw.ch/entscheid/bvger_C-1337_2011</w:t>
      </w:r>
    </w:p>
    <w:p>
      <w:r>
        <w:t>FR: TAF C-1337/2011 du 21 août 2012</w:t>
      </w:r>
    </w:p>
    <w:p>
      <w:r>
        <w:t>IT: TAF C-1337/2011 del 21 agosto 2012</w:t>
      </w:r>
    </w:p>
    <w:p>
      <w:pPr>
        <w:pStyle w:val="Heading2"/>
      </w:pPr>
      <w:r>
        <w:t>Regeste</w:t>
      </w:r>
    </w:p>
    <w:p>
      <w:r>
        <w:t>Droit à la rente</w:t>
      </w:r>
    </w:p>
    <w:p>
      <w:pPr>
        <w:pStyle w:val="Heading2"/>
      </w:pPr>
      <w:r>
        <w:t>Erwägungen</w:t>
      </w:r>
    </w:p>
    <w:p>
      <w:r>
        <w:rPr>
          <w:b/>
        </w:rPr>
        <w:t>E. 1.1</w:t>
      </w:r>
    </w:p>
    <w:p>
      <w:r>
        <w:t>Sous réserve des exceptions prévues à l'art. 32 LTAF,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l'Office AI pour les assurés résidant à l'étranger (OAIE) concernant l'octroi de prestations d'invalidité peuvent être contestées devant le Tribunal administratif fédéral conformément à l'art. 69 al. 1 let. b de la Loi fédérale du 19 juin 1959 sur l'assurance-invalidité (LAI, RS 831.20), celui-ci est dès lors compétent pour connaître de la présente cause.</w:t>
      </w:r>
    </w:p>
    <w:p>
      <w:r>
        <w:rPr>
          <w:b/>
        </w:rPr>
        <w:t>E. 1.2</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Sous peine d'irrecevabilité, le mémoire de recours doit indiquer les conclusions, les motifs et la signature du recourant (cf. art. 52 al. 1 er 3 PA). Selon la jurisprudence, ne contient pas une motivation topique, le recours qui ne comporte que des arguments sur le fond alors qu'il porte sur un jugement d'irrecevabilité (cf. ATF 123 V 335; DAT 2002 n° 7 p. 61 consid. 2). Par décision du 12 janvier 2011, l'autorité inférieure a refusé d'examiner la nouvelle demande de rente présentée par le recourant. Or, les conclusions du recourant ne sont pas claires. En concluant implicitement à l'octroi d'une rente, il semble considérer que la décision attaquée est une décision de rejet de prestations alors qu'il s'agit d'une non-entrée en matière. La Cour de céans ne peut que déclarer irrecevable tout chef de conclusion concernant l'octroi de prestations d'invalidité. Ceci dit, quand bien même le recourant n'indique pas les motifs pour lesquels, à son avis, l'autorité inférieure aurait dû rentrer en matière, on peut aisément déduire de son argumentation au fond qu'il estime que sa situation s'est détériorée de sorte que de nouvelles investigations se justifient.</w:t>
      </w:r>
    </w:p>
    <w:p>
      <w:r>
        <w:rPr>
          <w:b/>
        </w:rPr>
        <w:t>E. 1.5</w:t>
      </w:r>
    </w:p>
    <w:p>
      <w:r>
        <w:t>Déposé en temps utile et dans les formes requises par la loi (art. 60 LPGA et 52 PA), le recours est recevable quant à sa forme, sous réserve du grief concernant l'octroi de prestations AI.</w:t>
      </w:r>
    </w:p>
    <w:p>
      <w:r>
        <w:rPr>
          <w:b/>
        </w:rPr>
        <w:t>E. 2</w:t>
      </w:r>
    </w:p>
    <w:p>
      <w:r>
        <w:t>Le Tribunal administratif fédéral applique le droit d'office, sans être lié par les motifs invoqués (cf. art. 62 al. 4 PA) ni par l'argumentation juridique développée dans la décision entreprise (cf. Pierre Moor, Droit administratif, vol. II, 2e éd., Berne 2002, ch. 2.2.6.5, p. 265 ). La procédure est régie par la maxime inquisitoire, ce qui signifie que le Tribunal administratif fédéral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Moser/Michael Beusch/Lorenz Kneubühler, Prozessieren vor dem Bundesverwaltungsgericht, Bâle 2008, p. 22 n. 1.55, Alfred Kölz / Isabelle Häner, Verwaltungsverfahren und Verwaltungsrechtspflege des Bundes, 2e éd. Zurich 1998 n. 677).</w:t>
      </w:r>
    </w:p>
    <w:p>
      <w:r>
        <w:rPr>
          <w:b/>
        </w:rPr>
        <w:t>E. 3.1</w:t>
      </w:r>
    </w:p>
    <w:p>
      <w:r>
        <w:t>Le recourant est citoyen d'un Etat membre de la Communauté euro-péenne. Par conséquent est applicable, en l'espèce, l'Accord sur la libre circulation des personnes du 21 juin 1999 entre la Confédération suisse, d'une part, et la Communauté européenne et ses Etats membres, d'autre part, entré en vigueur le 1er juin 2002, (ALCP, RS 0.142.112.681),</w:t>
      </w:r>
    </w:p>
    <w:p>
      <w:r>
        <w:rPr>
          <w:b/>
        </w:rPr>
        <w:t>E. 3.2</w:t>
      </w:r>
    </w:p>
    <w:p>
      <w:r>
        <w:t>L'Annexe II de l'ALCP qui règle la coordination des systèmes de sécu-rité sociale a été modifiée au 1er avril 2012 (Décision 1/2012 du Comité mixte du 31 mars 2012; RO 2012 2345). Toutefois, le cas d'espèce reste régi (par renvoi de l'art. 80a LAI) par la version de l'Annexe II en vigueur jusqu'au 31 mars 2012 (cf. RO 2002 1527, RO 2006 979 et 995, RO 2006 5851, RO 2009 2411 et 2421) et selon laquelle les parties contractantes appliquent entre elles notamment les actes communautaires suivants: le Règlement (CEE) n° 1408/71 du Conseil du 14 juin 1971 relatif à l'appli-cation des régimes de sécurité sociale aux travailleurs salariés, aux tra-vailleurs non salariés et aux membres de leur famille qui se déplacent à l'intérieur de la Communauté (RO 2004 121, RO 2008 4219, RO 2009 4831) et s'appliquant à toutes les rentes dont le droit prend naissance au 1er juin 2002 et ultérieurement et se substituant à toute convention de sé-curité sociale liant deux ou plusieurs Etats (art. 6 du Règlement) et le Rè-glement (CEE) n° 574/72 du Conseil du 21 mars 1972 relatif à l'application du Règlement (CEE) n° 1408/71 (RO 2005 3909, RO 2009 621, RO 2009 4845).</w:t>
      </w:r>
    </w:p>
    <w:p>
      <w:r>
        <w:rPr>
          <w:b/>
        </w:rPr>
        <w:t>E. 3.3</w:t>
      </w:r>
    </w:p>
    <w:p>
      <w:r>
        <w:t>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 en particulier son Annexe II qui régit la coordina-tion des systèmes d'assurances sociales (art. 8 ALCP) - ne prévoit pas de disposition contraire, l'organisation de la procédure de même que l'exa-men des conditions à l'octroi d'une rente d'invalidité suisse ressortissent au droit interne suisse.</w:t>
      </w:r>
    </w:p>
    <w:p>
      <w:r>
        <w:rPr>
          <w:b/>
        </w:rPr>
        <w:t>E. 3.4</w:t>
      </w:r>
    </w:p>
    <w:p>
      <w:r>
        <w:t>De jurisprudence constante, l'octroi d'une rente étrangère d'invalidité ne préjuge pas l'appréciation de l'invalidité selon la loi suisse (Arrêt du Tribunal fédéral I 435/02 consid. 2 du 4 février 2003; Revue à l'intention des caisses de compensation [RCC] 1989 p. 330). Même après l'entrée en vigueur de l'ALCP, le degré d'invalidité d'un assuré qui prétend à une rente de l'assurance-invalidité suisse est déterminé exclusivement d'après le droit suisse. En effet, selon l'art. 40 par. 4 du Règlement (CEE) n° 1408/71, la décision prise par l'institution d'un Etat membre au sujet de l'état d'invalidité d'un requérant ne s'impose à l'institution de tout autre Etat membre concerné, qu'à la condition que la concordance des conditions relatives à l'état d'invalidité entre les législations de ces Etats soit reconnue à l'annexe V, ce qui n'est pas le cas pour les relations entre la Suisse et chacun des autres Etats membres (ATF 130 V 253 consid. 2.4). Toutefois, conformément à l'art. 40 du Règlement (CEE) n° 574/72, lors de l'évaluation du degré d'invalidité, l'institution d'un Etat membre doit prendre en considération les documents et rapports médicaux ainsi que les renseignements d'ordre administratif recueillis par l'institution de tout autre Etat membre. Chaque institution conserve néanmoins la faculté de faire procéder à l'examen du requérant par un médecin de son choix.</w:t>
      </w:r>
    </w:p>
    <w:p>
      <w:r>
        <w:rPr>
          <w:b/>
        </w:rPr>
        <w:t>E. 3.5</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136 V 24 consid. 4.3 et les références). La décision entreprise ayant été rendue le 12 janvier 2011, le droit éventuel à des prestations de l'assurance-invalidité doit être examiné en fonction des dispositions de la LAI et de la LPGA, telles que modifiées par la novelle du 6 octobre 2006 (5e révision), entrées en vigueur le 1er janvier 2008 (RO 2007 5129). Cela étant, la 5e révision n'a pas modifié la notion d'invalidité, ni la manière d'évaluer le taux d'invalidité (cf. arrêt du Tribunal fédéral 9C_942/2009 du 15 mars 2010 consid. 3.1). Ne sont en revanche pas applicables les dispositions de la 6e révision (premier volet) en vigueur dès le 1er janvier 2012 (RO 2011 5659, FF 2010 1647).</w:t>
      </w:r>
    </w:p>
    <w:p>
      <w:r>
        <w:rPr>
          <w:b/>
        </w:rPr>
        <w:t>E. 4.1</w:t>
      </w:r>
    </w:p>
    <w:p>
      <w:r>
        <w:t>Aux termes de l'art. 87 al. 3 et 4 RAI, lorsque l'administration examine une nouvelle demande de l'assuré après un premier refus de prestations, elle n'entrera en matière que s'il est établi de façon plausible que l'invalidité s'est modifiée de manière à influencer ses droits. A défaut d'apporter cette preuve préalable au nouvel examen du droit aux prestations, l'affaire est liquidée sans autre examen par une décision de non-entrée en matière sujette à recours devant le tribunal compétent. On entend ainsi éviter que l'administration ne doive s'occuper continuellement des mêmes cas, soit des cas où la situation n'a pas subi de modification (ATF 125 V 410 consid. 2b, VSI 2000 242).</w:t>
      </w:r>
    </w:p>
    <w:p>
      <w:r>
        <w:rPr>
          <w:b/>
        </w:rPr>
        <w:t>E. 4.2</w:t>
      </w:r>
    </w:p>
    <w:p>
      <w:r>
        <w:t>Dans l'examen des allégations de l'assuré quant à la péjoration de son état de santé, l'administration peut se montrer d'autant plus exigeante pour apprécier le caractère plausible des allégations de l'assuré que le laps de temps qui s'est écoulé depuis sa décision antérieure est bref. Elle jouit sur ce point d'un certain pouvoir d'appréciation que le juge doit en principe respecter. Le juge doit comparer la situation existante au moment du rejet de la demande de prestations avec les circonstances existantes au moment de la décision de refus d'entrer en matière sur la nouvelle demande (arrêt du TF I 187/05 du 11 mai 2006, voir ég. ATF 130 V 343 consid. 3.5). Le juge ne doit examiner comment l'administration a tranché la question de l'entrée en matière que lorsque ce point est litigieux, c'est-à-dire uniquement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consid. 2b; arrêt du TF I 597/05 du 8 janvier 2007).</w:t>
      </w:r>
    </w:p>
    <w:p>
      <w:r>
        <w:rPr>
          <w:b/>
        </w:rPr>
        <w:t>E. 5</w:t>
      </w:r>
    </w:p>
    <w:p>
      <w:r>
        <w:t>Dans le cas d'espèce, doit donc être examinée la question de savoir si c'est à juste titre que l'autorité inférieure n'est pas entrée en matière sur la demande du recourant.</w:t>
      </w:r>
    </w:p>
    <w:p>
      <w:r>
        <w:rPr>
          <w:b/>
        </w:rPr>
        <w:t>E. 5.1</w:t>
      </w:r>
    </w:p>
    <w:p>
      <w:r>
        <w:t>Dans ce contexte, il sied de préciser que le fait d'avoir sollicité l'avis de son médecin-conseil sur les documents médicaux produits par le recourant n'équivaut pas à une investigation matérielle de la demande. L'autorité inférieure s'est bornée ainsi au demeurant que la loi le prescrit à examiner si les allégations de l'assuré étaient plausibles, ce à quoi elle a conclu par la négative.</w:t>
      </w:r>
    </w:p>
    <w:p>
      <w:r>
        <w:rPr>
          <w:b/>
        </w:rPr>
        <w:t>E. 5.2</w:t>
      </w:r>
    </w:p>
    <w:p>
      <w:r>
        <w:t>En l'espèce, le diagnostic principal ressortant tant de la nouvelle expertise E213 effectuée en décembre 2008 que du rapport du Dr E._______ est en partie le même que celui à l'origine de la décision de rejet en octobre 2009. On retrouve en effet le status de lymphoépithéliome qui ne semble pas présenter de signe de récidive et les problèmes liés au diabète, notamment la rétinopathie. Toutefois, cette dernière n'entrainait aucune déficience importante en 2009 (pce 24) alors qu'une année plus tard, le Dr E._______ relève une perte de la vision avec une atteinte à la macula à l'oeil droit. De surcroît, ce médecin mentionne également une importante perte de l'ouï, ainsi qu'une insuffisance rénale de grade III, une artérite des deux carotides et une bronchectasie, soit des pathologies absentes des certificats médicaux disponibles en octobre 2009. Certes, la deuxième expertise E 213 produite conjointement à la nouvelle demande de rente mentionne une capacité de travail conservée dans un activité adaptée mais ce constat repose sur un diagnostic similaire à la première expertise de septembre 2008 (pce 15) et ne fait aucune mention des nouvelles atteintes à la santé du recourant attestées par le Dr E._______. Cette expertise E213, datée du 10 mai 2010, est antérieure de 6 mois à celle du Dr Fernandez Alvarez (2 novembre 2010), ce qui explique vraisemblablement les différences de diagnostics.</w:t>
      </w:r>
    </w:p>
    <w:p>
      <w:r>
        <w:rPr>
          <w:b/>
        </w:rPr>
        <w:t>E. 5.3</w:t>
      </w:r>
    </w:p>
    <w:p>
      <w:r>
        <w:t>Le laps de temps écoulé entre la première décision et la nouvelle demande est certes court (environ 15 mois) mais une aggravation de la situation de l'assuré est susceptible de s'être produite durant cette période. Au demeurant, on ne peut inférer sans autre d'un diagnostic identique posé à des moments différents, que l'état de santé congruent à l'évaluation du degré d'invalidité n'a pas changé. L'intensité de la douleur ressentie peut se modifier tout comme les conséquences de l'atteinte à la santé sur l'aptitude au travail (cf. arrêt du TF I 212/03 du 28 août 2003 consid. 2.2.3). Bien que l'autorité dispose d'un large pouvoir d'appréciation dans le cadre de l'application de l'art. 87 al. 3 et al. 4 RAI, elle ne pouvait ainsi faire tout bonnement fi des nouvelles observations et conclusions du rapport médical du Dr E._______ produit par le recourant en procédure d'audition, notamment l'importante perte de l'ouï et l'atteinte à la macula de l'oeil droit. En effet, au vu de ce document, il n'est pas possible d'exclure clairement la possibilité d'une modification de l'état de santé du recourant ou des conséquences de cet état sur son aptitude au travail. Ainsi le recourant a rendu plausible la survenance de modifications susceptibles d'avoir des effets sur son taux d'invalidité.</w:t>
      </w:r>
    </w:p>
    <w:p>
      <w:r>
        <w:rPr>
          <w:b/>
        </w:rPr>
        <w:t>E. 6</w:t>
      </w:r>
    </w:p>
    <w:p>
      <w:r>
        <w:t>Au vu de ce qui précède, le recours, pour autant que recevable (cf. consid. 1.4), doit être admis. La décision du 7 janvier 2011 est annulée et la cause est renvoyée à l'autorité inférieure afin qu'elle entre en matière sur la demande du recourant. Elle instruira la cause au fond; elle vérifiera que les modifications rendues plausibles par l'assuré sont réellement intervenues. Si l'administration constate que l'invalidité ne s'est pas modifiée depuis la décision précédente, passée en force, elle rejettera la demande. Sinon, elle devra encore examiner si la modification constatée suffit à fonder une invalidité donnant droit à des prestations et statuer en conséquence (arrêt du Tribunal fédéral I 132/03 du 26 avril 2005 consid. 2).</w:t>
      </w:r>
    </w:p>
    <w:p>
      <w:r>
        <w:rPr>
          <w:b/>
        </w:rPr>
        <w:t>E. 7.1</w:t>
      </w:r>
    </w:p>
    <w:p>
      <w:r>
        <w:t>Compte tenu de l'issu du litige, il n'est pas perçu de frais de procédure (art. 63 al. 1 et 2 PA). En conséquence, l'avance de frais de 400 francs déjà versée par le recourant lui sera restituée sur le compte bancaire qu'il aura désigné, une fois le présent arrêt entré en force.</w:t>
      </w:r>
    </w:p>
    <w:p>
      <w:r>
        <w:rPr>
          <w:b/>
        </w:rPr>
        <w:t>E. 7.2</w:t>
      </w:r>
    </w:p>
    <w:p>
      <w:r>
        <w:t>A teneur de l'art. 64 PA, l'autorité de recours peut allouer, d'office ou sur requête, à la partie ayant entièrement ou partiellement gain de cause une indemnité pour les frais indispensables et relativement élevés qui lui ont été occasionnés. En l'espèce, le recourant s'est défendu seul, sans faire appel à un mandataire, et il n'est pas démontré qu'il a subi de ce fait des frais considérables. Partant, il ne lui 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