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C-1333/2015 vom 6. Oktober 2015</w:t>
      </w:r>
    </w:p>
    <w:p>
      <w:r>
        <w:t>Bundesverwaltungsgericht, 2015-10-06, DE</w:t>
      </w:r>
    </w:p>
    <w:p>
      <w:r>
        <w:rPr>
          <w:b/>
        </w:rPr>
        <w:t xml:space="preserve">Quelle: </w:t>
      </w:r>
      <w:r>
        <w:t>https://mcp.opencaselaw.ch/entscheid/bvger_C-1333_2015</w:t>
      </w:r>
    </w:p>
    <w:p>
      <w:r>
        <w:t>FR: TAF C-1333/2015 du 6 octobre 2015</w:t>
      </w:r>
    </w:p>
    <w:p>
      <w:r>
        <w:t>IT: TAF C-1333/2015 del 6 ottobre 2015</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 2406/2014 vom 19. Februar 2015 E. 4.2 m.H.).</w:t>
      </w:r>
    </w:p>
    <w:p>
      <w:r>
        <w:rPr>
          <w:b/>
        </w:rPr>
        <w:t>E. 3.2</w:t>
      </w:r>
    </w:p>
    <w:p>
      <w:r>
        <w:t>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w:t>
      </w:r>
    </w:p>
    <w:p>
      <w:r>
        <w:t>Gegen das hier zu beurteilende Einreiseverbot wendet der Beschwerdeführer insbesondere ein, die Vorinstanz habe zu Unrecht auf den Inhalt des Strafbefehls vom 29. Januar 2015 abgestellt und damit eine willkürliche Sachverhaltsfeststellung vorgenommen. Zudem fehle eine Legalprognose im Hinblick auf künftige Gefährdungen der öffentlichen Sicherheit und Ordnung, weshalb die Vorinstanz gegen die Plicht, ihre Verfügung zu begründen, verstossen habe (vgl. Sachverhalt E).</w:t>
      </w:r>
    </w:p>
    <w:p>
      <w:r>
        <w:rPr>
          <w:b/>
        </w:rPr>
        <w:t>E. 4.1</w:t>
      </w:r>
    </w:p>
    <w:p>
      <w:r>
        <w:t>Der Umstand, dass der Strafbefehl bisher womöglich nicht zugestellt und damit auch nicht rechtskräftig wurde, ist für das vorliegende Verfahren jedoch nicht ausschlaggebend. Das Einreiseverbot hat keinen Strafcharakter, sondern ist eine reine Verwaltungsmassnahme (vgl. Botschaft des Bundesrates zum Bundesgesetz über die Ausländerinnen und Ausländer [AuG] vom 8. März 2002, BBl 2002 3709, 3813; im Folgenden: Botschaft). Insofern geht es nur darum, ob der Betroffene mit dem ihm zur Last gelegten Verhalten gesetzliche Vorschriften missachtet und damit gegen die öffentliche Sicherheit und Ordnung in der Schweiz verstossen hat (vgl. Art. 67 Abs. 2 Bst. a AuG). Ein solcher Verstoss kann - unabhängig von einer strafrechtlichen Verurteilung - angenommen werden, wenn die entsprechende Situation eindeutig war, beispielsweise bei vorliegendem Geständnis oder erdrückender Beweislage (vgl. auch Botschaft S. 3809 in Bezug auf den Widerruf einer Bewilligung bei strafbarem Verhalten).</w:t>
      </w:r>
    </w:p>
    <w:p>
      <w:r>
        <w:rPr>
          <w:b/>
        </w:rPr>
        <w:t>E. 4.2</w:t>
      </w:r>
    </w:p>
    <w:p>
      <w:r>
        <w:t>Um das Vorliegen einer solchen Situation abzuklären, hat das Bundesverwaltungsgericht, wie aus der Zwischenverfügung vom 10. März 2015 ersichtlich, die Akten des Migrationsamts des Kantons Zürich beigezogen. Aus ihnen ergibt sich, dass der Beschwerdeführer bei seiner Einvernahme durch die Kantonspolizei Zürich am 29. Januar 2015 die Überschreitung der zulässigen Aufenthaltsdauer im Schengen-Raum zugegeben und gleichzeitig eingeräumt hat, von den geltenden Einreise- und Aufenthaltsbestimmungen Kenntnis gehabt zu haben. Von dem insoweit einschlägigen Sachverhalt - dem rechtswidrigen Aufenthalt des Beschwerdeführers - durfte die Vorinstanz somit bei der Anordnung der Fernhaltemassnahme ausgehen.</w:t>
      </w:r>
    </w:p>
    <w:p>
      <w:r>
        <w:rPr>
          <w:b/>
        </w:rPr>
        <w:t>E. 4.3</w:t>
      </w:r>
    </w:p>
    <w:p>
      <w:r>
        <w:t>Der mit dem rechtswidrigen Aufenthalt einhergehende Verstoss gegen die öffentliche Sicherheit und Ordnung (Art. 67 Abs. 2 Bst. a AuG) und die sofort vollstreckte Wegweisung (Art. 67 Abs. 1 Bst. a AuG) veranlassten die Vorinstanz, die Dauer des Einreiseverbots auf drei Jahre festzusetzen. Diese Dauer liegt im mittleren Bereich des von Art. 67 Abs. 3 Satz 1 AuG vorgegebenen Rahmens und bedurfte - zumal der Ermessensspielraum bei Massnahmen gemäss Art. 67 Abs. 1 AuG gering ist - keiner besonderen Erklärung. Der sich aus Art. 35 VwVG ergebenden Pflicht zur Begründung ihrer Verfügung hat die Vorinstanz von daher, anders als der Beschwerdeführer meint, Genüge getan.</w:t>
      </w:r>
    </w:p>
    <w:p>
      <w:r>
        <w:rPr>
          <w:b/>
        </w:rPr>
        <w:t>E. 5</w:t>
      </w:r>
    </w:p>
    <w:p>
      <w:r>
        <w:t>Aus dem Vorangegangenen ergibt sich, dass die sofort vollstreckte Wegweisung und der rechtswidrige Aufenthalt des Beschwerdeführers zurecht die Grundlage für die angeordnete Fernhaltemassnahme bildeten. Darüber hinaus ist festzustellen, dass der Beschwerdeführer infolge der angeordneten Wegweisung in Ausschaffungshaft genommen wurde, womit ein weiterer Grund für das Einreiseverbot bestand (Art. 67 Abs. 2 Bst. c AuG). Abgesehen davon darf das Bundesverwaltungsgericht in seinem Entscheid auch etwaige dem Strafbefehl vom 29. Januar 2015 vorausgehende Verurteilungen berücksichtigen (vgl. E. 2). Der Beschwerdeführer hat geltend gemacht, in seinem Fall sei das Einreiseverbot nicht gerechtfertigt, denn man dürfe nicht davon ausgehen, dass er keine Gewähr für künftiges Wohlverhalten biete bzw. künftig Verstösse gegen die öffentliche Sicherheit und Ordnung begehen werde. Dieses Vorbringen ist angesichts seines erwiesenen Verhaltens - das in der Rechtsmitteleingabe ausgeblendet wird - jedoch nicht massgeblich (vgl. E. 4.1 in fine). Das Einreiseverbot soll nämlich, zum einen, als generalpräventive Massnahme zur Gefahrenabwehr auf andere Rechtsgenossen einwirken (vgl. Urteil des BVGer C 5232/2014 vom 18. März 2015 E. 4.2 m.H.), zum anderen hat es auch spezialpräventiven Charakter und soll den Betroffenen veranlassen, künftig die für ihn geltenden Regeln einzuhalten (vgl. Urteil des BVGer C 5556/2014 vom 28. Mai 2015 E. 4.8 m.H.). Im Falle des Beschwerdeführers ist festzustellen, dass auch sein bisheriges sonstiges Verhalten auf eine Gefährdung der öffentlichen Sicherheit und Ordnung schliessen lässt. Hierzu erwähnt sei der rechtskräftige Strafbefehl vom 28. November 2014, mit dem der Beschwerdeführer wegen mehrerer Strassenverkehrsdelikte zu einer Geldstrafe von 50 Tagessätzen à Fr. 30.- und einer Busse von Fr. 300.- verurteilt wurde. Ersichtlich wird diese Verurteilung aus den beigezogenen kantonalen Akten. Gemäss Strafbefehl vom 29. Januar 2015 existiert zwar noch eine weitere Vorverurteilung, zu der sich den kantonalen Akten allerdings nichts entnehmen lässt. Diese fällt aber ohnehin nicht mehr entscheidend ins Gewicht, denn angesichts der bekannten - und keineswegs als Bagatellen zu betrachtenden - Verstösse des Beschwerdeführers war die Anordnung einer Fernhaltemassnahme zweifelsohne geboten.</w:t>
      </w:r>
    </w:p>
    <w:p>
      <w:r>
        <w:rPr>
          <w:b/>
        </w:rPr>
        <w:t>E. 6</w:t>
      </w:r>
    </w:p>
    <w:p>
      <w:r>
        <w:t>Zu prüfen bleibt, ob das Einreiseverbot hinsichtlich der Dauer angemessen und verhältnismässig ist.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Zürich und St. Gallen 2010, S. 138 f.).</w:t>
      </w:r>
    </w:p>
    <w:p>
      <w:r>
        <w:rPr>
          <w:b/>
        </w:rPr>
        <w:t>E. 6.1</w:t>
      </w:r>
    </w:p>
    <w:p>
      <w:r>
        <w:t>Ausgehend davon, dass das im vorliegenden Fall ausgesprochene Einreiseverbot den Beschwerdeführer von weiteren Verstössen gegen aufenthaltsrechtliche Bestimmungen abhalten und auch künftigen Störungen der öffentlichen Sicherheit und Ordnung entgegenwirken soll, ist ein gewichtiges öffentliches Interesse an seiner Fernhaltung zu bejahen. Dies gilt erst recht, als sein Verhalten ein gewisse Gleichgültigkeit gegenüber den von ihm begangenen Verstössen offenbart. So äusserte er im Rahmen des ihm am 29. Januar 2015 gewährten rechtlichen Gehörs, er habe letztes Mal in Slowenien nur eine Busse bezahlen können, womit die Sache erledigt gewesen sei. Er habe gedacht, hier sei das auch mit einer Busse erledigt. Aus diesem Vorbringen wird ersichtlich, dass ihn die Konsequenzen seines Fehlverhaltens, solange sie finanziell geregelt werden können, wenig bis gar nicht beeindrucken. Abgesehen vom individuell geprägten öffentlichen Interesse an der Fernhaltung des Beschwerdeführers sind generalpräventive Aspekte zu berücksichtigen, diese deshalb, weil sie die ausländerrechtliche Ordnung durch eine konsequente Massnahmenpraxis schützen und damit zu einer insgesamt funktionierenden Rechtsordnung beitragen sollen (zur Zulässigkeit der Berücksichtigung generalpräventiver Aspekte: vgl. Urteil des BGer 2C_516/2014 vom 24. März 2015 E. 4.3.2 m.H.).</w:t>
      </w:r>
    </w:p>
    <w:p>
      <w:r>
        <w:rPr>
          <w:b/>
        </w:rPr>
        <w:t>E. 6.2</w:t>
      </w:r>
    </w:p>
    <w:p>
      <w:r>
        <w:t>Dem öffentlichen Interesse an einem Einreiseverbot wären allenfalls private Interessen des Beschwerdeführers gegenüberzustellen. Derartige Interessen, bei denen es um das Betreten des schweizerischen und liechtensteinischen Staatsgebiets gehen könnte, werden vom Beschwerdeführer jedoch nicht geltend gemacht. Demgegenüber möchte er, um seine Bewegungsmöglichkeit im übrigen Schengen-Raum beibehalten und insbesondere eine Weiterbildung in Wien absolvieren zu können, die Löschung seiner Ausschreibung im SIS II erreichen. Die Voraussetzungen, unter denen diese Ausschreibung erfolgen durfte, waren in seinem Fall allerdings erfüllt, beruht das gegen ihn verhängte Einreiseverbot doch u.a. darauf, dass er aus der Schweiz weggewiesen wurde (vgl. den Wortlaut von Art. 24 Abs. 3 Bst. b der Verordnung [EG] Nr. 1987/2006 des Europäischen Parlaments und des Rates vom 20. Dezember 2006 über die Einrichtung, den Betrieb und die Nutzung des Schengener Informationssystems der zweiten Generation [SIS II]). Von daher ist seine Ausschreibung im SIS II nicht zu beanstanden. Unter welchen Gegebenheiten die Ausschreibung gelöscht werden könnte, hat die Vorinstanz in ihrer Vernehmlassung dargelegt. Im vorliegenden Verfahren ist darüber nicht zu entscheiden.</w:t>
      </w:r>
    </w:p>
    <w:p>
      <w:r>
        <w:rPr>
          <w:b/>
        </w:rPr>
        <w:t>E. 7</w:t>
      </w:r>
    </w:p>
    <w:p>
      <w:r>
        <w:t>Zusammenfassend ist festzustellen, dass das verhängte Einreiseverbot sowohl im Grundsatz als auch hinsichtlich der Dauer eine verhältnismässige und angemessene Massnahme zum Schutz der öffentlichen Sicherheit und Ordnung darstellt. Auf seiner Grundlage erfolgte auch zurecht die Ausschreibung im SIS II.</w:t>
      </w:r>
    </w:p>
    <w:p>
      <w:r>
        <w:rPr>
          <w:b/>
        </w:rPr>
        <w:t>E. 8</w:t>
      </w:r>
    </w:p>
    <w:p>
      <w:r>
        <w:t>Aus diesen Erwägungen folgt, dass die angefochtene Verfügung Bundesrecht nicht verletzt (vgl. Art. 49 VwVG). Die Beschwerde ist daher abzuweisen.</w:t>
      </w:r>
    </w:p>
    <w:p>
      <w:r>
        <w:rPr>
          <w:b/>
        </w:rPr>
        <w:t>E. 9</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