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C-1331/2015 vom 2. März 2016</w:t>
      </w:r>
    </w:p>
    <w:p>
      <w:r>
        <w:t>Bundesverwaltungsgericht, 2016-03-02, FR</w:t>
      </w:r>
    </w:p>
    <w:p>
      <w:r>
        <w:rPr>
          <w:b/>
        </w:rPr>
        <w:t xml:space="preserve">Quelle: </w:t>
      </w:r>
      <w:r>
        <w:t>https://mcp.opencaselaw.ch/entscheid/bvger_C-1331_2015</w:t>
      </w:r>
    </w:p>
    <w:p>
      <w:r>
        <w:t>FR: TAF C-1331/2015 du 2 mars 2016</w:t>
      </w:r>
    </w:p>
    <w:p>
      <w:r>
        <w:t>IT: TAF C-1331/2015 del 2 marzo 2016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de céans, qui statue comme autorité précédant le Tribunal fédéral (cf. art. 1 al. 2 LTAF en relation avec l'arrêt du Tribunal fédéral 2C_318/2012 du 22 février 2013 consid. 1.1).</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elle statue (cf. ATAF 2014/1 consid. 2). 3.1 L'interdiction d'entrée, qui permet d'empêcher l'entrée ou le retour en Suisse (respectivement dans l'Espace Schengen) d'un étranger dont le sé­jour y est indésirable, est régie par l'art. 67 de la loi fédérale du 16 décembre 2005 sur les étrangers (LEtr, RS 142.20), dans sa teneur en vigueur depuis le 1er janvier 2011 (RO 2010 5925 [5929, 5933]). 3.2 Selon l'art. 67 al. 2 let. a LEtr, le SEM peut interdire l'entrée en Suisse à un étranger qui a notamment attenté à la sécurité et à l'ordre publics en Suisse.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3.3 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Message LEtr] du 8 mars 2002, FF 2002 3469, spéc. p. 3564 ad art. 61 du projet).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Tel est le cas, en particulier, lorsqu'il y a eu violation importante ou répétée de prescriptions légales (y compris de prescriptions du droit en matiè­re d'étrangers) ou de décisions d'autorités (cf. Message LEtr du 8 mars 2012,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(cf. art. 80 al. 2 OASA). 3.4 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Mes­sa­ge LEtr du 8 mars 2002, p. 3568 ad art. 66 du projet; Zünd/Ar­quint Hill, Beendigung der An­­wesenheit, Entfernung und Fernhaltung, in: Uebersax/Rudin/Hugi Yar/Geiser [éd.], Ausländerrecht, Bâle 2009, p. 355 n. 8.80). 4.1 Dans la mesure où le recourant, en tant que citoyen français, est un ressortissant communautaire, il convient de vérifier si la mesure d'éloi­gne­ment prononcée à son endroit est conforme à l'ALCP. 4.2 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L'ALCP ne réglemente pas en tant que telle l'interdiction d'entrée. C'est donc l'art. 67 LEtr qui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 4.3 Dès lors qu'une mesure d'interdiction d'entrée en Suisse restreint la libre circulation des personnes, l'interdiction d'entrée signifiée à un ressortissant communautaire doit, contrairement à ce qui vaut pour les ressortissants de pays tiers, aussi se conformer à l'exigence de l'art. 5 par. 1 annexe I ALCP, selon laquelle le droit de demeurer en Suisse pour y exer­cer une activité lucrative ne peut être limité que par des mesures d'ordre, de sécurité ou de santé publics. Le cadre et les modalités de cette disposition sont déterminés notamment par la directive 64/221/CEE (JO 56 du 4 avril 1964, p. 850ss) et la jurisprudence y relative de la Cour de Justice des Communautés européennes (CJCE) - devenue la Cour de Justice de l'Union européenne (CJUE) - rendue avant la signature, le 21 juin 1999, de l'accord (cf. art. 5 par. 2 annexe I ALCP, en relation avec l'art. 16 al. 2 ALCP; ATF 139 II 121 consid. 5.3; au sujet de la prise en considération des arrêts de la Cour de Justice postérieurs à cette date, cf. ATF 136 II 65 consid. 3.1, 136 II 5 consid. 3.4, et la jurisprudence citée). 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Les mesures d'ordre ou de sécurité publics doivent être fondées exclusi­vement sur le comportement personnel de l'individu qui en fait l'objet (cf. art. 3 par. 1 de la directive précitée). Des motifs de prévention générale détachés du cas individuel ne sauraient donc suffire à les justifier. La seu­le existence d'antécédents pénaux ne permet pas non plus de conclure (automatiquement) que l'étranger constitue une menace suffisamment grave pour l'ordre et la sécurité publics (cf. art. 3 par. 2 de la directive pré­citée). Les autorités nationales sont tenues de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suffisamment grave pour l'ordre public (cf. ATF 139 II 121 con­sid. 5.3, 136 II 5 con­­sid. 4.2, et la jurisprudence citée; cf. également l'arrêt du TF 2C_436/ 2014 du 29 octobre 2014 consid. 3.3).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arrêts du TF 2C_436/2014 précité consid. 3.3, 2C_139/2014 du 4 juillet 2014 consid. 4.3, 2C_565/ 2013 du 6 décembre 2013 con­sid. 3.5, 2C_579/2013 du 15 no­vem­bre 2013 consid. 2.3 et 2C_260/2013 du 8 juillet 2013 consid. 4.1). 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139 II 121 con­sid. 5.3, 136 II 5 con­sid. 4.2, et la jurisprudence citée). Le Tribunal fédéral se montre particulièrement rigoureux - suivant en cela la pratique de la Cour européenne des droits de l'homme - en présence d'infractions à la législation fé­dérale sur les stupéfiants, d'actes de violence criminelle et d'infractions con­tre l'intégrité sexuelle (cf. ATF 139 II 121 consid. 5.3, et la juris­pru­den­ce citée; arrêt du TF 2C_121/2014 du 17 juillet 2014 consid. 3.2, ainsi que les arrêts du TF précités 2C_436/2014 consid. 3.3, 2C_565/2013 consid. 3.5, 2C_579/2013 consid. 2.3 et 2C_260/2013 consid. 4.1), étant précisé que la commission d'infractions qui sont en étroite rela­tion avec la toxi­co­ma­nie du délinquant peuvent, selon les circonstances, atténuer cette po­sition de principe (cf. ATF 139 II 121 consid. 5.3, et la jurisprudence ci­tée). Un tel risque pourra également être admis pour les multirécidivistes qui n'ont pas tiré de leçon de leurs condamnations pénales antérieures (cf. arrêt du TF 2C_741/2013 du 8 avril 2014 consid. 2.3 in fine, ainsi que les arrêts du TF précités 2C_121/2014 consid. 4.3, 2C_565/2013 consid. 3.5, 2C_579/2013 consid. 2.3 et 2C_260/2013 consid. 4.1). 4.4 Dans l'ATF 139 II 121, le Tribunal fédéral a apporté une distinction, dans l'application de l'art. 67 al. 3 première phrase LEtr, selon que la personne concernée est au bénéfice ou non de l'ALCP. Si celle-ci est originaire d'un pays tiers, elle pourra être frappée d'une interdiction d'entrée en Suisse pour une durée maximale de cinq ans au sens de l'art. 67 al. 2 let. a et al. 3 première phrase LEtr, si elle a attenté à la sécurité et à l'ordre publics en Suisse ou à l'étranger ou encore si elle les a mis en danger (palier défini par le Tribunal fédéral comme le "palier I" ; cf. ATF 139 II 121 consid. 6.1), alors que si elle est au bénéfice de l'ALCP, la menace qu'elle représente pour l'ordre et la sécurité publics doit être d'une certaine gravité, soit dépasser la simple mise en danger de l'ordre public (palier désigné par le Tribunal fédéral comme le "palier I bis"). Quant à la menace grave au sens de l'art. 67 al. 3 seconde phrase LEtr, qui justifierait le prononcé d'une interdiction d'entrée en Suisse pour une durée supérieure à 5 ans, elle doit nécessairement atteindre un degré de gravité supérieur à la "mise en danger" ou "atteinte" (palier I), respectivement à la "menace d'une certaine gravité" (palier I bis), constituant ainsi un palier supplémentaire dans la gradation (palier désigné par le Tribunal fédéral comme le "palier II" ; cf. ATF 139 II 121 consid. 6.3). Toujours selon le Tribunal fédéral, par rapport à la notion découlant de l'art. 5 annexe I ALCP, le terme de "menace grave" de l'art. 67 al. 3 seconde phrase LEtr présuppose l'existence d'une menace caractérisée. Ce degré de gravité particulier, dont il est prévu que l'application demeurera exceptionnelle, doit s'examiner au cas par cas, en tenant compte de tous les éléments pertinents au dossier. Il peut en particulier dériver de la nature du bien juridique menacé (par exemple : atteinte grave à la vie, l'intégrité corporelle ou sexuelle ou à la santé des personnes), de l'appartenance d'une infraction à un domaine de criminalité particulièrement grave revêtant une dimension transfrontière (comme le trafic de drogue), de la multiplication d'infractions (récidives), en tenant compte de l'éventuel accroissement de leur gravité, ou encore de l'absence de pronostic favorable. Etant donné que l'art. 67 al. 3, seconde phrase LEtr ne distingue pas entre les ressortissants d'un Etat partie à l'ALCP ou d'un Etat tiers, et que l'ALCP reste muet sur les mesures d'interdiction d'entrée et, a fortiori, sur leur durée possible, force est d'admettre que le législateur fédéral a entendu appréhender de la même manière les deux catégories de ressortissants étrangers pour ce qui est du prononcé d'une interdiction d'entrée supérieure à cinq années (cf. ATF 139 II 121 consid. 6.2 in fine). 5.1 A l'examen du dossier, il appert que X._______ a régulièrement occupé la justice française entre 1993 et 2004, puis la justice suisse entre 2005 et 2013, en faisant l'objet, durant ces deux périodes, de 12 condamnations pénales, principalement pour des infractions à la LCR (notamment conduite en état d'ébriété, conduite sans permis ou malgré retrait du permis de conduire), sa condamnation la plus lourde (un an d'emprisonnement) ayant été prononcée en 2003 (cf. consid. B). Lors de ses divers séjours en Suisse, il a été condamné à 5 reprises par les autorités judiciaires vaudoises et valaisannes, dont les deux dernières fois en 2013, à savoir une peine pécuniaire de 61 jours-amende (à 110 francs le jour-amende) et à une amende de 500 francs pour violation des règles de la circulation routière, conducteur se trouvant dans l'incapacité de conduire (véhicule automobile, taux d'alcoolémie qualifié), opposition ou dérobade aux mesures visant à déterminer l'incapacité de conduire (véhicule automobile), violation des obligations en cas d'accident et contravention selon l'art. 19a LStup, selon jugement du 15 mai 2013 du Ministère public du canton du Valais (Office régional du Bas-Valais), pour des infractions remontant au mois d'octobre 2012, ainsi qu'une peine privative de liberté de six mois (sous déduction d'une détention préventive de 2 jours) pour violation des règles de la circulation routière, conducteur se trouvant dans l'incapacité de conduire (véhicule automobile, en état d'ébriété), tentative d'opposition ou dérobade aux mesures visant à déterminer l'incapacité de conduire (véhicule automobile), violation des obligations en cas d'accident, conduite sans permis de conduire ou malgré un retrait (véhicule automobile), circulation sans permis de circulation ou plaques de contrôle, usage abusif de permis et de plaques, acte illicite touchant un signal ou une marque et contravention selon à la LStup, selon jugement du 4 juin 2013 du Tribunal cantonal valaisan, pour des infractions s'étalant entre les mois de février 2010 et de juin 2011. 5.2 Dans son mémoire de recours, X._______ a allégué que les actes incriminés étaient de peu de gravité, puisqu'il s'agissait pour l'essentiel de violations de la LCR, que pour ce qui concerne la répétition des atteintes, les infractions en Suisse s'étendaient sur une longue période (8 ans), que les sanctions pénales (amende, peine pécuniaire et courte peine privative de liberté) étaient d'une gravité "relativement peu élevée", et que sous l'angle de la menace qu'il représentait pour l'ordre et la sécurités publics, il n'avait pas fait l'objet de condamnations pénales récentes. 5.3 Au regard du comportement délictueux que l'intéressé a adopté en Suisse sur une période prolongée, il n'est pas contestable que ses agissements constituent non seulement un trouble à l'ordre social, mais encore affectent gravement un intérêt fondamental de la société. En effet, au vu des condamnations dont il a fait l'objet en Suisse depuis 2005, le recourant n'a eu de cesse de conduire des véhicule automobiles en étant dans l'incapacité de conduire en raison d'un taux d'alcoolémie qualifié et de circuler malgré un retrait ou un refus du permis de conduire. Il s'est même opposé ou dérobé aux mesures visant à déterminer son incapacité de conduire et a violé ses obligations en cas d'accident (cf. consid. B). Les faits reprochés à l'intéressé sont objectivement graves et leur répétition laisse supposer que ce dernier n'a pas pris conscience du danger qu'il fait courir aux autres usager de la route en conduisant son véhicule sous l'emprise de l'alcool ou de stupéfiant dans un état d'incapacité de conduire. Bien que l'homicide par négligence ou les violations graves de la LCR (ébriété, conduite sans permis, ....) ne fassent pas partie des catégories d'infractions justifiant que l'on se montre particulièrement rigoureux eu égard aux biens juridiques protégés par rapport à la notion découlant de l'art. 5 annexe I ALCP (cf. consid. 4.4), il n'en demeure pas moins que les infractions commises par le recourant sont de nature à mettre en danger la sécurité et la vie des usagers de la route (cf. arrêt du Tribunal fédéral 2C_881/2012 du 16 janvier 2013 consid. 4.3.2). A ce stade, il y a donc lieu de retenir que le recourant, quoiqu'il en dise, s'est rendu coupable d'infractions qui présentent objectivement une menace réelle et dont on ne saurait contester qu'elles affectent un intérêt fondamental de la société au sens de la jurisprudence de la Cour de Justice de l'Union européenne. 5.4 Il convient encore d'examiner si cette menace est toujours d'actualité. Dans son recours, l'intéressé a fait valoir à cet égard qu'il n'avait plus fait l'objet de condamnation récemment et que son permis de conduire lui avait été retiré. S'agissant du retrait de permis de conduire, le Tribunal constate que cela ne suffit pas à considérer que le recourant ne présente plus de risque actuel pour l'ordre public suisse, dans la mesure il n'est pas exclu que l'intéressé conduise un véhicule sans permis, comme cela a déjà été le cas à plusieurs reprises par le passé au vu de ses antécédents judiciaires (cf. consid. B). Par ailleurs, un risque concret peut être admis pour les multirécidivistes qui n'ont pas tiré de leçon de leurs condamnations pénales antérieures (cf. consid. 4.3 et jurisprudence citée). Or, comme l'a relevé le Tribunal cantonal du valais (cf. jugement du 4 juin 2013, consid 4.2), les nombreuses condamnations antérieures pour violation des dispositions de la LCR (plus d'une dizaine) n'ont pas eu l'effet escompté sur le comportement de l'intéressé; bien plus, il s'est rendu coupable de plusieurs infractions alors qu'il se trouvait sous le coup d'instructions pour des faits similaires, démontrant ainsi par ce comportement un "défaut de caractère" et une "incapacité à tirer un enseignement des expériences passées", éléments qui ne pouvaient que conduire à poser un pronostic défavorable pour le futur. Dès lors, le Tribunal considère que les arguments avancés dans le recours ne permettent pas de conclure que le risque de récidive puisse être actuellement exclu. Le cumul des actes délictueux commis par le recourant en Suisse depuis 2005 et leur caractère récidivant, alors qu'il avait déjà fait l'objet en France de condamnations pour des faits similaires, témoignent en effet de l'incapacité chronique de l'intéressé à s'adapter à l'ordre établi et conduit le Tribunal à devoir constater que celui-ci éprouve de réelles difficultés à respecter l'ordre public, de sorte qu'il n'est, en conséquence, pas possible, en l'état, de poser un pronostic favorable quant à son comportement futur. 5.5 Compte tenu de la pratique en la matière et de l'ensemble des circonstances du cas d'espèce, le Tribunal considère ainsi, au vu des principes de la réglementation communautaire et de la jurisprudence de la CJCE concernant la gravité, la réalité et l'actualité de la menace que X._______ représente pour l'ordre et la sécurité publics, que la décision querellée satisfait aux conditions habilitant l'autorité à déroger au principe de libre circulation des personnes consacré par l'ALCP.</w:t>
      </w:r>
    </w:p>
    <w:p>
      <w:r>
        <w:rPr>
          <w:b/>
        </w:rPr>
        <w:t>E. 6</w:t>
      </w:r>
    </w:p>
    <w:p>
      <w:r>
        <w:t>Il sied encore d'examiner si la mesure d'éloignement, dont la durée a été fixée par l'autorité de première instance à cinq ans, en application de l'art. 67 al. 3 première phrase LEtr,, satisfait notamment aux principes de la proportionnalité et d'égalité de traitement.</w:t>
      </w:r>
    </w:p>
    <w:p>
      <w:r>
        <w:rPr>
          <w:b/>
        </w:rPr>
        <w:t>E. 6.1</w:t>
      </w:r>
    </w:p>
    <w:p>
      <w:r>
        <w:t>Lorsque l'autorité administrative prononce une interdiction d'entrée, elle doit en effet respecter le principe susmentionné et s'interdire tout arbitraire (cf. à ce sujet, à titre d'exemples, Thierry Tanquerel, Manuel de droit administratif, Genève/Zurich/Bâle 2011, p. 187ss, p. 199ss et p. 204ss et Pierre Moor et al., Droit administratif, vol. I, Berne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ATF 135 I 176 consid. 8.1, ATF 133 I 110 consid. 7.1 et la jurisprudence citée). Concernant les deux premières règles susmentionnées, il est indéniable que l'éloignement de l'intéressé du territoire suisse est apte et nécessaire à atteindre les buts visés, à savoir protéger l'ordre et la sécurité publics. Concernant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w:t>
      </w:r>
    </w:p>
    <w:p>
      <w:r>
        <w:rPr>
          <w:b/>
        </w:rPr>
        <w:t>E. 6.2</w:t>
      </w:r>
    </w:p>
    <w:p>
      <w:r>
        <w:t>L'exigence de proportionnalité à laquelle doivent satisfaire les mesures étatiques (telles les mesures d'éloignement), qui découle notamment de l'art. 96 al. 1 LEtr, est aussi applicable dans les domaines régis par l'ALCP (cf. arrêt du TF précités 2C_436/2014 consid. 4.1, 2C_121/2014 consid. 5.1, et la jurisprudence citée). La détermination de la durée d'une interdiction d'entrée dans un cas concret doit tenir compte en particulier de l'importance des biens juridiques menacés et des intérêts privés concernés (cf. ATAF 2014/20 consid. 8.2 et 8.3).</w:t>
      </w:r>
    </w:p>
    <w:p>
      <w:r>
        <w:rPr>
          <w:b/>
        </w:rPr>
        <w:t>E. 6.3</w:t>
      </w:r>
    </w:p>
    <w:p>
      <w:r>
        <w:t>Préalablement, il convient de relever que l'impossibilité pour le recou­rant de résider durablement en Suisse ne résulte pas de la mesure d'éloignement litigieuse, mais découle du fait qu'il n'est pas titulaire d'un titre de séjour dans ce pays, sa précédente autorisation de courte durée CE/AELE, étant échue depuis le 30 septembre 2013.</w:t>
      </w:r>
    </w:p>
    <w:p>
      <w:r>
        <w:rPr>
          <w:b/>
        </w:rPr>
        <w:t>E. 6.4</w:t>
      </w:r>
    </w:p>
    <w:p>
      <w:r>
        <w:t>En l'état, le Tribunal ne peut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 La prise en considération de la durée du séjour en Suisse se justifie par le fait que l'intégration dans le pays d'accueil est généralement d'autant plus forte que le séjour y a été long. En l'espèce, l'intéressé a passé la majeure partie de son existence sur le territoire français et n'a séjourné en Suisse que depuis 2005, sa dernière autorisation étant échu depuis le mois de septembre 2013. Or, lors de son séjour en Suisse, il a commis de nombreuses infractions qui lui ont valu cinq condamnations, de sorte que l'on ne saurait considérer son intégration comme satisfaisante. A cela s'ajoute que sur le plan familial, il est divorcé et n'a pas allégué posséder de parenté ou proches résidant en Suisse. Pour ce qui a trait à l'intérêt public, il sied de noter que les actes pour lesquels le recourant a été condamné sont d'une gravité certaine et justifient une intervention des autorités. On ne saurait en effet passer sous silence le fait que le recourant a déployé une activité délictuelle en Suisse plusieurs années durant et qu'il existe par conséquent un intérêt public indéniable à le tenir éloigné de Suisse, compte tenu du risque de récidive (cf. consid. 5.4).</w:t>
      </w:r>
    </w:p>
    <w:p>
      <w:r>
        <w:rPr>
          <w:b/>
        </w:rPr>
        <w:t>E. 6.5</w:t>
      </w:r>
    </w:p>
    <w:p>
      <w:r>
        <w:t>En conséquence, après une pondération des intérêts publics et pri­vés en présence et au regard de l'ensemble des circonstances, en par­ti­­culier de l'activité délictuelle déployée par le recourant en Suisse et de l'importance du risque de récidive que laisse redouter son passé judiciaire, le Tri­bunal estime que la durée de l'in­­terdiction d'entrée prononcée le 23 janvier 2015 pour une durée de cinq ans est conforme au principe de la proportionnalité. Il convient de relever à ce propos que le SEM a considéré à bon droit que le comportement du recourant constituait une "menace réelle, actuelle et d'une certaine gravité " (palier I bis) au sens de la jurisprudence du Tribunal fédéral (cf. ATF 139 II 121 consid. 6.1), mais non une menace grave pour la sécurité et l'ordre publics au sens de l'art. 67 al. 3 LEtr. Le Tribunal constate enfin que c'est à juste titre que l'autorité inférieure a limité la portée de l'interdiction d'entrée au seul territoire suisse, dès lors que le recourant est un ressortissant communautaire.</w:t>
      </w:r>
    </w:p>
    <w:p>
      <w:r>
        <w:rPr>
          <w:b/>
        </w:rPr>
        <w:t>E. 7</w:t>
      </w:r>
    </w:p>
    <w:p>
      <w:r>
        <w:t>Il sied encore de relever que les allégations formulées dans le mémoire de recours et les observations du 13 juillet 2015 concernant le maintien de la présence en Suisse du recourant aux fins de traitement médical, de remboursement de dettes et d'exécution de peine privative de liberté, sont sans pertinence quant à l'issue de présent litige, la question de la poursuite du séjour et du renvoi de Suisse de l'intéressé étant du ressort des autorités valaisannes compétentes.</w:t>
      </w:r>
    </w:p>
    <w:p>
      <w:r>
        <w:rPr>
          <w:b/>
        </w:rPr>
        <w:t>E. 8</w:t>
      </w:r>
    </w:p>
    <w:p>
      <w:r>
        <w:t>Il ressort de ce qui précède que, par sa décision du 23 janvier 2015, l'autorité intimée n'a ni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